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E5162E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608DA" w:rsidRPr="00E5162E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5162E" w:rsidRPr="00E5162E" w:rsidRDefault="00E5162E" w:rsidP="00E5162E">
      <w:pPr>
        <w:pStyle w:val="1"/>
        <w:shd w:val="clear" w:color="auto" w:fill="FFFFFF"/>
        <w:spacing w:before="0" w:beforeAutospacing="0" w:after="150" w:afterAutospacing="0"/>
        <w:ind w:left="-851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E5162E">
        <w:rPr>
          <w:b w:val="0"/>
          <w:color w:val="000000" w:themeColor="text1"/>
          <w:sz w:val="24"/>
          <w:szCs w:val="24"/>
        </w:rPr>
        <w:t>ДК 021:2015 - 33600000-6 - Фармацевтична продукція (Лікарські засоби: СЕВОРАН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Sevofluran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ВАНКОМІЦИН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Vancomycin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ПРОПОФОЛ-НОВО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Propofol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ДЕКСАМЕТАЗОН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Dexamethasone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ПРЕДНІЗОЛОН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Prednisolone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НАЛОКСОН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Naloxone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 xml:space="preserve">), </w:t>
      </w:r>
      <w:r w:rsidR="004F413F">
        <w:rPr>
          <w:b w:val="0"/>
          <w:color w:val="000000" w:themeColor="text1"/>
          <w:sz w:val="24"/>
          <w:szCs w:val="24"/>
        </w:rPr>
        <w:t>МЕДОКЛАВ</w:t>
      </w:r>
      <w:r w:rsidRPr="00E5162E">
        <w:rPr>
          <w:b w:val="0"/>
          <w:color w:val="000000" w:themeColor="text1"/>
          <w:sz w:val="24"/>
          <w:szCs w:val="24"/>
        </w:rPr>
        <w:t xml:space="preserve">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Amoxicillin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МЕРОПЕНЕМ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Meropenem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МЕРОПЕНЕМ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Meropenem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ГЕПАРИН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Heparin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ГЕМОТРАН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Tranexamic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acid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ТОМОГЕКСОЛ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Iohexol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НОРАДРЕНАЛІНУ ТАРТРАТ АГЕТАН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Norepinephrine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ЙОД ПЕЧАЄВСЬКИЙ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Povidone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iodine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ФУРОСЕМІД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Furosemide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АТРАКУРІУМ-НОВО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Atracurium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ДИТИЛІН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Suxamethonium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ПУЛЬМІКОРТ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Budesonide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ПУЛЬМІКОРТ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Budesonide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ГЛЮКОЗА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Glucose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ДРОТАВЕРИН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Drotaverine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ЕУФІЛІН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Theophylline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АТРОПІН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Atropine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ФАРМАЗОЛІН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Xylometazoline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БЕНЗИЛБЕНЗОАТ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Benzyl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benzoate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ДИКЛОФЕНАК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Diclofenac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АДРЕНАЛІН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Epinephrine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 xml:space="preserve"> /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Adrenaline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), ГЕРПЕВІР (</w:t>
      </w:r>
      <w:proofErr w:type="spellStart"/>
      <w:r w:rsidRPr="00E5162E">
        <w:rPr>
          <w:b w:val="0"/>
          <w:color w:val="000000" w:themeColor="text1"/>
          <w:sz w:val="24"/>
          <w:szCs w:val="24"/>
        </w:rPr>
        <w:t>Aciclovir</w:t>
      </w:r>
      <w:proofErr w:type="spellEnd"/>
      <w:r w:rsidRPr="00E5162E">
        <w:rPr>
          <w:b w:val="0"/>
          <w:color w:val="000000" w:themeColor="text1"/>
          <w:sz w:val="24"/>
          <w:szCs w:val="24"/>
        </w:rPr>
        <w:t>)).</w:t>
      </w:r>
    </w:p>
    <w:p w:rsidR="00B20C33" w:rsidRPr="00E5162E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E5162E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4811BD" w:rsidRPr="002D4D03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D4D0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2D4D03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F413F" w:rsidRPr="002D4D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UA-2023-01-06-003189-a</w:t>
      </w:r>
    </w:p>
    <w:p w:rsidR="00E5162E" w:rsidRPr="00E5162E" w:rsidRDefault="00E5162E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F413F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F413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F413F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F413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F413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F413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F413F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F413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F413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F413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F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F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F413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F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F4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F413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F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F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F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F413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4F413F" w:rsidRPr="004F413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531 956,01</w:t>
      </w:r>
      <w:r w:rsidR="004F413F" w:rsidRPr="004F413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4F413F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2D4D03"/>
    <w:rsid w:val="00395EE2"/>
    <w:rsid w:val="003C5C26"/>
    <w:rsid w:val="0047564E"/>
    <w:rsid w:val="004811BD"/>
    <w:rsid w:val="004F09E8"/>
    <w:rsid w:val="004F413F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1223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31</cp:revision>
  <dcterms:created xsi:type="dcterms:W3CDTF">2021-03-05T08:01:00Z</dcterms:created>
  <dcterms:modified xsi:type="dcterms:W3CDTF">2023-01-09T08:23:00Z</dcterms:modified>
</cp:coreProperties>
</file>