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FC358F" w:rsidRPr="002719F1" w:rsidTr="001B6509">
        <w:tc>
          <w:tcPr>
            <w:tcW w:w="5094" w:type="dxa"/>
          </w:tcPr>
          <w:p w:rsidR="00FC358F" w:rsidRPr="00D642B6" w:rsidRDefault="00FC358F" w:rsidP="001B6509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94" w:type="dxa"/>
          </w:tcPr>
          <w:p w:rsidR="00FC358F" w:rsidRPr="00D642B6" w:rsidRDefault="00FC358F" w:rsidP="001B6509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Додаток </w:t>
            </w:r>
            <w:r w:rsidR="00504E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  <w:r w:rsidR="009350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-жовтень</w:t>
            </w:r>
          </w:p>
          <w:p w:rsidR="00FC358F" w:rsidRPr="00D642B6" w:rsidRDefault="00FC358F" w:rsidP="001B6509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 Договору постачання електричної</w:t>
            </w:r>
          </w:p>
          <w:p w:rsidR="00FC358F" w:rsidRPr="00D642B6" w:rsidRDefault="00FC358F" w:rsidP="001B6509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енергії споживачу</w:t>
            </w:r>
          </w:p>
        </w:tc>
      </w:tr>
    </w:tbl>
    <w:p w:rsidR="00FC358F" w:rsidRDefault="00FC358F" w:rsidP="00FC358F">
      <w:pPr>
        <w:pStyle w:val="PreformattedText"/>
        <w:rPr>
          <w:rFonts w:ascii="Times New Roman" w:hAnsi="Times New Roman" w:cs="Times New Roman"/>
          <w:sz w:val="16"/>
          <w:szCs w:val="16"/>
          <w:lang w:val="uk-UA"/>
        </w:rPr>
      </w:pPr>
    </w:p>
    <w:p w:rsidR="002719F1" w:rsidRPr="002719F1" w:rsidRDefault="002719F1" w:rsidP="00FC358F">
      <w:pPr>
        <w:pStyle w:val="PreformattedText"/>
        <w:rPr>
          <w:rFonts w:ascii="Times New Roman" w:hAnsi="Times New Roman" w:cs="Times New Roman"/>
          <w:sz w:val="16"/>
          <w:szCs w:val="16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BC703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07/09-1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Pr="00423971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2719F1" w:rsidRDefault="002719F1" w:rsidP="002719F1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</w:t>
      </w:r>
      <w:r w:rsidR="00B722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«01</w:t>
      </w:r>
      <w:r>
        <w:rPr>
          <w:rFonts w:ascii="Times New Roman" w:hAnsi="Times New Roman" w:cs="Times New Roman"/>
          <w:sz w:val="24"/>
          <w:szCs w:val="24"/>
          <w:lang w:val="uk-UA"/>
        </w:rPr>
        <w:t>» вересня 2020р.</w:t>
      </w:r>
    </w:p>
    <w:p w:rsidR="002719F1" w:rsidRPr="009D332D" w:rsidRDefault="002719F1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постачанняелектричної енергії споживачу (далі - Договір), який є публічним договором приєднання,укладеним згідно статей 633, 634, 641, 642 Цивільного кодексу України, шляхом приєднанняСпоживана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енергії як товарної продукції з 01.10.2020р.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Pr="00370AA6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>ТОРГІВЕЛЬНИЙ ДІМ «УКРЕНЕРГОЗБУТ</w:t>
      </w:r>
      <w:r w:rsidRPr="00370A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 з постачанняелектричної енергії: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p w:rsidR="00676D5E" w:rsidRPr="00FC358F" w:rsidRDefault="00676D5E">
      <w:pPr>
        <w:pStyle w:val="PreformattedText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3374"/>
        <w:gridCol w:w="6814"/>
      </w:tblGrid>
      <w:tr w:rsidR="00FC358F" w:rsidRPr="00D400E4" w:rsidTr="001B6509">
        <w:tc>
          <w:tcPr>
            <w:tcW w:w="3085" w:type="dxa"/>
          </w:tcPr>
          <w:p w:rsidR="00FC358F" w:rsidRPr="00370AA6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103" w:type="dxa"/>
          </w:tcPr>
          <w:p w:rsidR="00FC358F" w:rsidRPr="00D400E4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370AA6" w:rsidTr="001B6509">
        <w:tc>
          <w:tcPr>
            <w:tcW w:w="3085" w:type="dxa"/>
          </w:tcPr>
          <w:p w:rsidR="00FC358F" w:rsidRPr="00370AA6" w:rsidRDefault="00FC358F" w:rsidP="001B6509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1B6509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4F7691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</w:p>
          <w:p w:rsidR="00FC358F" w:rsidRPr="00FC358F" w:rsidRDefault="00FC358F" w:rsidP="004F7691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FC358F" w:rsidRDefault="00FC358F" w:rsidP="004F7691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Цф = 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РДН + 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Тп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*Кнб)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+ Цпост, де:</w:t>
            </w:r>
          </w:p>
          <w:p w:rsidR="00756C52" w:rsidRPr="00882E24" w:rsidRDefault="00756C52" w:rsidP="004F7691">
            <w:pPr>
              <w:pStyle w:val="PreformattedTex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Ц_РДН– середньозважена  ціна купівлі електричної енергії на ринку «на добу наперед» (РДН), визначається за формулою:</w:t>
            </w:r>
          </w:p>
          <w:p w:rsidR="00A2439F" w:rsidRPr="00882E24" w:rsidRDefault="00882E24" w:rsidP="004F7691">
            <w:pPr>
              <w:pStyle w:val="PreformattedTex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val="uk-UA"/>
                </w:rPr>
                <m:t>Ц_РДН=</m:t>
              </m:r>
              <m:f>
                <m:fPr>
                  <m:type m:val="lin"/>
                  <m:ctrlPr>
                    <w:rPr>
                      <w:rFonts w:ascii="Cambria Math" w:hAnsi="Cambria Math"/>
                      <w:b/>
                      <w:lang w:val="uk-U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hAnsi="Cambria Math"/>
                          <w:b/>
                          <w:i/>
                          <w:lang w:val="uk-UA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uk-UA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pHide m:val="on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uk-UA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  <m:sup/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uk-UA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uk-UA"/>
                                        </w:rPr>
                                        <m:t>Ц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uk-UA"/>
                                            </w:rPr>
                                            <m:t>ф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uk-UA"/>
                                        </w:rPr>
                                        <m:t>Р</m:t>
                                      </m:r>
                                    </m:sup>
                                  </m:sSub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uk-UA"/>
                                    </w:rPr>
                                    <m:t>*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uk-UA"/>
                                            </w:rPr>
                                            <m:t>ф</m:t>
                                          </m:r>
                                        </m:sub>
                                      </m:sSub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uk-UA"/>
                                        </w:rPr>
                                        <m:t>С</m:t>
                                      </m:r>
                                    </m:sup>
                                  </m:sSubSup>
                                </m:e>
                              </m:d>
                            </m:e>
                          </m:nary>
                        </m:e>
                      </m:d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hAnsi="Cambria Math"/>
                          <w:b/>
                          <w:i/>
                          <w:lang w:val="uk-UA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uk-UA"/>
                            </w:rPr>
                          </m:ctrlPr>
                        </m:nary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uk-UA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uk-U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uk-UA"/>
                                    </w:rPr>
                                    <m:t>ф</m:t>
                                  </m:r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uk-UA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756C52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,</w:t>
            </w:r>
          </w:p>
          <w:p w:rsidR="00756C52" w:rsidRPr="00882E24" w:rsidRDefault="00756C52" w:rsidP="004F7691">
            <w:pPr>
              <w:pStyle w:val="PreformattedTex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uk-UA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uk-UA"/>
                        </w:rPr>
                        <m:t>ф</m:t>
                      </m:r>
                    </m:sub>
                  </m:sSub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Р</m:t>
                  </m:r>
                </m:sup>
              </m:sSubSup>
            </m:oMath>
            <w:r w:rsidRPr="00882E24">
              <w:rPr>
                <w:rFonts w:ascii="Times New Roman" w:hAnsi="Times New Roman" w:cs="Times New Roman"/>
                <w:b/>
                <w:i/>
                <w:lang w:val="uk-UA"/>
              </w:rPr>
              <w:t xml:space="preserve">- </w:t>
            </w:r>
            <w:r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фактична ціна електричної енергії на ринку РДН, в і-ту годину </w:t>
            </w:r>
            <w:bookmarkStart w:id="0" w:name="_GoBack"/>
            <w:bookmarkEnd w:id="0"/>
            <w:r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l-тої доби розрахункового періоду,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яка наведена на офіційному сайті Оператору ринку 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за відповідний розрахунковий період, грн./МВт·год.(без ПДВ);</w:t>
            </w:r>
          </w:p>
          <w:p w:rsidR="00BE784C" w:rsidRPr="00882E24" w:rsidRDefault="001D734A" w:rsidP="00710ECE">
            <w:pPr>
              <w:pStyle w:val="PreformattedTex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uk-UA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uk-U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uk-UA"/>
                        </w:rPr>
                        <m:t>ф</m:t>
                      </m:r>
                    </m:sub>
                  </m:sSub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С</m:t>
                  </m:r>
                </m:sup>
              </m:sSubSup>
            </m:oMath>
            <w:r w:rsidR="004F7691" w:rsidRPr="00882E24">
              <w:rPr>
                <w:rFonts w:ascii="Times New Roman" w:hAnsi="Times New Roman" w:cs="Times New Roman"/>
                <w:b/>
                <w:i/>
                <w:lang w:val="uk-UA"/>
              </w:rPr>
              <w:t xml:space="preserve">- </w:t>
            </w:r>
            <w:r w:rsidR="004F7691" w:rsidRPr="00882E2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фактичний обсяг електричної енергії, спожитої Споживачем в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і-ту годину l-тої доби розрахункового періоду, </w:t>
            </w:r>
            <w:r w:rsidR="00882E24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Вт·год.</w:t>
            </w:r>
            <w:r w:rsidR="00882E24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, числовий формат 3 знаки після коми, тобто з точністю до 1кВт·год.</w:t>
            </w:r>
            <w:r w:rsidR="004F7691" w:rsidRPr="00882E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;</w:t>
            </w:r>
          </w:p>
          <w:p w:rsid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Тп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(240,23 грн/мгВт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без ПДВ;</w:t>
            </w:r>
          </w:p>
          <w:p w:rsidR="00710ECE" w:rsidRPr="00FC358F" w:rsidRDefault="00AA641C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Кнб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="002F4B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коефіцієнт вартості небалансів. Д</w:t>
            </w:r>
            <w:r w:rsidR="00710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ля цієї комерційної пропозиції складає 1,05. 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Цпост - ціна послуг Постачальники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="001B1A6C" w:rsidRPr="0039255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0,05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(нуль грн.</w:t>
            </w:r>
            <w:r w:rsidR="006652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п’ять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копійок), (грн/кВт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без ПДВ;</w:t>
            </w:r>
          </w:p>
          <w:p w:rsidR="00FC358F" w:rsidRPr="00370AA6" w:rsidRDefault="00FC358F" w:rsidP="001B6509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301162" w:rsidTr="001B6509">
        <w:tc>
          <w:tcPr>
            <w:tcW w:w="3085" w:type="dxa"/>
          </w:tcPr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Споживач здійснює оплату за електричну енергію унаступному  порядку.</w:t>
            </w:r>
          </w:p>
          <w:p w:rsidR="00FC358F" w:rsidRDefault="00BF053A" w:rsidP="0007058C">
            <w:pPr>
              <w:pStyle w:val="a9"/>
              <w:numPr>
                <w:ilvl w:val="0"/>
                <w:numId w:val="1"/>
              </w:numPr>
              <w:ind w:left="39" w:right="247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34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:rsidR="00FC358F" w:rsidRDefault="00BF053A" w:rsidP="0007058C">
            <w:pPr>
              <w:pStyle w:val="a9"/>
              <w:numPr>
                <w:ilvl w:val="0"/>
                <w:numId w:val="1"/>
              </w:numPr>
              <w:ind w:left="0" w:right="247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33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 п’ятого дня розрахункового місяця</w:t>
            </w:r>
            <w:r w:rsidR="007E2269">
              <w:rPr>
                <w:rFonts w:ascii="Times New Roman" w:hAnsi="Times New Roman" w:cs="Times New Roman"/>
                <w:i/>
                <w:iCs/>
                <w:lang w:val="uk-UA"/>
              </w:rPr>
              <w:t>;</w:t>
            </w:r>
          </w:p>
          <w:p w:rsidR="00FC358F" w:rsidRPr="00FC358F" w:rsidRDefault="00BF053A" w:rsidP="0007058C">
            <w:pPr>
              <w:pStyle w:val="a9"/>
              <w:numPr>
                <w:ilvl w:val="0"/>
                <w:numId w:val="1"/>
              </w:numPr>
              <w:ind w:left="0" w:right="247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33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 п’ятнадцятого дня розрахункового місяця.</w:t>
            </w:r>
          </w:p>
          <w:p w:rsidR="00FC358F" w:rsidRPr="00FC358F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Ціна, яка застосовується для визначення сум п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оплати, дорівнює </w:t>
            </w:r>
            <w:r w:rsidR="00BC7031" w:rsidRPr="00B7221A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2,0</w:t>
            </w:r>
            <w:r w:rsidRPr="00B7221A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 xml:space="preserve"> грн</w:t>
            </w:r>
            <w:r w:rsidR="00996FAE" w:rsidRPr="00B7221A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/</w:t>
            </w:r>
            <w:r w:rsidR="000A3FF3" w:rsidRPr="00B7221A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кВ</w:t>
            </w:r>
            <w:r w:rsidR="00996FAE" w:rsidRPr="00B7221A">
              <w:rPr>
                <w:rFonts w:ascii="Times New Roman" w:hAnsi="Times New Roman" w:cs="Times New Roman"/>
                <w:b/>
                <w:i/>
                <w:iCs/>
                <w:highlight w:val="yellow"/>
                <w:lang w:val="uk-UA"/>
              </w:rPr>
              <w:t>т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,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з урахування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м ПДВ та </w:t>
            </w:r>
            <w:r w:rsidR="00996FA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варт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>ості</w:t>
            </w:r>
            <w:r w:rsidR="00996FA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передачі електроенергії</w:t>
            </w:r>
            <w:r w:rsidR="00BC7031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FC358F" w:rsidRDefault="00FC358F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07058C" w:rsidRDefault="0007058C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07058C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301162" w:rsidTr="001B6509">
        <w:tc>
          <w:tcPr>
            <w:tcW w:w="3085" w:type="dxa"/>
          </w:tcPr>
          <w:p w:rsidR="0007058C" w:rsidRPr="00370AA6" w:rsidRDefault="0007058C" w:rsidP="002719F1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 здійснює оплату послуг з розподілу самостійно.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01162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2719F1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2719F1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01162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наданнярозрахункового документу за спожиту електричну енергію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2719F1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301162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Обсяги поставленої/спожитої електричної енергії Споживачу Постачальник визначає відповідно до даних, отриманих від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Оператора системи розподілу.</w:t>
            </w:r>
          </w:p>
          <w:p w:rsidR="0007058C" w:rsidRPr="00370AA6" w:rsidRDefault="0007058C" w:rsidP="002719F1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301162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електричної енергії до </w:t>
            </w:r>
            <w:r w:rsidR="00B7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року, а в частині проведення розрахунків - до їх повного здійснення.</w:t>
            </w:r>
          </w:p>
          <w:p w:rsidR="0007058C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2719F1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710ECE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занедотримання Постачальникомкомерційної якостінадання послуг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2719F1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</w:tc>
      </w:tr>
    </w:tbl>
    <w:p w:rsidR="00676D5E" w:rsidRPr="00FC358F" w:rsidRDefault="00676D5E">
      <w:pPr>
        <w:pStyle w:val="PreformattedText"/>
        <w:rPr>
          <w:lang w:val="uk-UA"/>
        </w:rPr>
      </w:pPr>
    </w:p>
    <w:p w:rsidR="0007058C" w:rsidRPr="00FC358F" w:rsidRDefault="0007058C">
      <w:pPr>
        <w:pStyle w:val="PreformattedText"/>
        <w:rPr>
          <w:lang w:val="ru-RU"/>
        </w:rPr>
      </w:pPr>
    </w:p>
    <w:p w:rsidR="0007058C" w:rsidRDefault="0007058C" w:rsidP="0007058C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F7362" w:rsidRPr="009D332D" w:rsidRDefault="00CF7362" w:rsidP="0007058C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676D5E" w:rsidRDefault="0007058C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  <w:r w:rsidR="002719F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 «ТД «УКРЕНЕРГОЗБУТ»</w:t>
      </w:r>
      <w:r w:rsidR="002719F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719F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719F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719F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719F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E784C">
        <w:rPr>
          <w:rFonts w:ascii="Times New Roman" w:hAnsi="Times New Roman" w:cs="Times New Roman"/>
          <w:b/>
          <w:bCs/>
          <w:sz w:val="24"/>
          <w:szCs w:val="24"/>
          <w:lang w:val="uk-UA"/>
        </w:rPr>
        <w:t>С.О</w:t>
      </w: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BE78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Іванчук</w:t>
      </w:r>
    </w:p>
    <w:p w:rsidR="002719F1" w:rsidRDefault="002719F1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19F1" w:rsidRDefault="002719F1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7362" w:rsidRDefault="00CF736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7362" w:rsidRDefault="00CF736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CF7362" w:rsidSect="002719F1">
      <w:headerReference w:type="default" r:id="rId8"/>
      <w:footerReference w:type="even" r:id="rId9"/>
      <w:footerReference w:type="default" r:id="rId10"/>
      <w:pgSz w:w="12240" w:h="15840"/>
      <w:pgMar w:top="1134" w:right="1134" w:bottom="567" w:left="1134" w:header="113" w:footer="113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8B" w:rsidRDefault="00612C8B" w:rsidP="0007058C">
      <w:r>
        <w:separator/>
      </w:r>
    </w:p>
  </w:endnote>
  <w:endnote w:type="continuationSeparator" w:id="1">
    <w:p w:rsidR="00612C8B" w:rsidRDefault="00612C8B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1D734A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1D734A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7221A"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8B" w:rsidRDefault="00612C8B" w:rsidP="0007058C">
      <w:r>
        <w:separator/>
      </w:r>
    </w:p>
  </w:footnote>
  <w:footnote w:type="continuationSeparator" w:id="1">
    <w:p w:rsidR="00612C8B" w:rsidRDefault="00612C8B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502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5741F"/>
    <w:rsid w:val="0007058C"/>
    <w:rsid w:val="00080BAF"/>
    <w:rsid w:val="000A3FF3"/>
    <w:rsid w:val="000B4370"/>
    <w:rsid w:val="001614A2"/>
    <w:rsid w:val="00182D3D"/>
    <w:rsid w:val="001B1A6C"/>
    <w:rsid w:val="001D734A"/>
    <w:rsid w:val="00253D23"/>
    <w:rsid w:val="002719F1"/>
    <w:rsid w:val="002D41D2"/>
    <w:rsid w:val="002F41ED"/>
    <w:rsid w:val="002F4B81"/>
    <w:rsid w:val="00301162"/>
    <w:rsid w:val="00381ABC"/>
    <w:rsid w:val="00392553"/>
    <w:rsid w:val="004323FA"/>
    <w:rsid w:val="00481BB4"/>
    <w:rsid w:val="004F7691"/>
    <w:rsid w:val="00504B25"/>
    <w:rsid w:val="00504E89"/>
    <w:rsid w:val="00572477"/>
    <w:rsid w:val="00597EE7"/>
    <w:rsid w:val="00612C8B"/>
    <w:rsid w:val="00613615"/>
    <w:rsid w:val="006652CE"/>
    <w:rsid w:val="00676D5E"/>
    <w:rsid w:val="006E73B9"/>
    <w:rsid w:val="006F5913"/>
    <w:rsid w:val="00710ECE"/>
    <w:rsid w:val="0074122A"/>
    <w:rsid w:val="0074561C"/>
    <w:rsid w:val="00756C52"/>
    <w:rsid w:val="00763D07"/>
    <w:rsid w:val="00772A73"/>
    <w:rsid w:val="007D7AEF"/>
    <w:rsid w:val="007E2269"/>
    <w:rsid w:val="00853935"/>
    <w:rsid w:val="00882E24"/>
    <w:rsid w:val="00935011"/>
    <w:rsid w:val="00993B03"/>
    <w:rsid w:val="00996FAE"/>
    <w:rsid w:val="00A02240"/>
    <w:rsid w:val="00A1477B"/>
    <w:rsid w:val="00A164DF"/>
    <w:rsid w:val="00A2439F"/>
    <w:rsid w:val="00A475CD"/>
    <w:rsid w:val="00AA641C"/>
    <w:rsid w:val="00AF3E57"/>
    <w:rsid w:val="00AF4FF0"/>
    <w:rsid w:val="00B7221A"/>
    <w:rsid w:val="00BA6473"/>
    <w:rsid w:val="00BC7031"/>
    <w:rsid w:val="00BD4D48"/>
    <w:rsid w:val="00BE4C46"/>
    <w:rsid w:val="00BE784C"/>
    <w:rsid w:val="00BF053A"/>
    <w:rsid w:val="00C126C0"/>
    <w:rsid w:val="00C54367"/>
    <w:rsid w:val="00C650E9"/>
    <w:rsid w:val="00C65FBB"/>
    <w:rsid w:val="00CF7362"/>
    <w:rsid w:val="00D56C3C"/>
    <w:rsid w:val="00DA2EAC"/>
    <w:rsid w:val="00DC23EA"/>
    <w:rsid w:val="00DD5562"/>
    <w:rsid w:val="00E1041A"/>
    <w:rsid w:val="00E27F69"/>
    <w:rsid w:val="00E323B9"/>
    <w:rsid w:val="00F15468"/>
    <w:rsid w:val="00F7757C"/>
    <w:rsid w:val="00FC358F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styleId="af">
    <w:name w:val="Placeholder Text"/>
    <w:basedOn w:val="a0"/>
    <w:uiPriority w:val="99"/>
    <w:semiHidden/>
    <w:rsid w:val="00AF3E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83B3-BC88-4CA3-BE03-65B2C893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3</cp:revision>
  <cp:lastPrinted>2020-10-01T08:54:00Z</cp:lastPrinted>
  <dcterms:created xsi:type="dcterms:W3CDTF">2021-04-26T10:34:00Z</dcterms:created>
  <dcterms:modified xsi:type="dcterms:W3CDTF">2021-04-26T10:35:00Z</dcterms:modified>
  <dc:language>en-US</dc:language>
</cp:coreProperties>
</file>