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:rsidR="00FC358F" w:rsidRDefault="00EA2DD8" w:rsidP="0072158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F4280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3-Р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березня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/>
      </w:tblPr>
      <w:tblGrid>
        <w:gridCol w:w="2802"/>
        <w:gridCol w:w="7386"/>
      </w:tblGrid>
      <w:tr w:rsidR="00FC358F" w:rsidRPr="00D400E4" w:rsidTr="002969E6">
        <w:trPr>
          <w:trHeight w:val="223"/>
        </w:trPr>
        <w:tc>
          <w:tcPr>
            <w:tcW w:w="2802" w:type="dxa"/>
          </w:tcPr>
          <w:p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2E58AC" w:rsidRPr="00FC358F" w:rsidRDefault="005D70E3" w:rsidP="002E58A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Цф = Ц_РДН*Кнб + Тп +Тр + Цпост</w:t>
            </w:r>
            <w:r w:rsidR="002E58A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:rsidR="00BE784C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Ц_РДН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середньозважена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 купівлі електричної енергії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ринку «на добу наперед» (РДН), яка наведена на офіційному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сайті Оператору ринку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471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погодинний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період, грн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="001A0D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без ПДВ;</w:t>
            </w:r>
          </w:p>
          <w:p w:rsidR="002E58AC" w:rsidRDefault="002E58A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небалансів. Для цієї комерційної пропозиції складає 1,1.</w:t>
            </w:r>
          </w:p>
          <w:p w:rsidR="00E37B78" w:rsidRPr="00710ECE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ціна послуг Постачальники 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="00F4280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4280C" w:rsidRPr="00F04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0,10</w:t>
            </w:r>
            <w:r w:rsidR="002E58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</w:t>
            </w:r>
            <w:r w:rsidR="00F428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рн/кВт без ПДВ, 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="002E58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C62BF7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наступному  порядку.</w:t>
            </w:r>
          </w:p>
          <w:p w:rsidR="00FC358F" w:rsidRDefault="006B23CC" w:rsidP="003D71FE">
            <w:pPr>
              <w:pStyle w:val="a9"/>
              <w:numPr>
                <w:ilvl w:val="0"/>
                <w:numId w:val="1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10</w:t>
            </w:r>
            <w:r w:rsidR="00A4716C">
              <w:rPr>
                <w:rFonts w:ascii="Times New Roman" w:hAnsi="Times New Roman" w:cs="Times New Roman"/>
                <w:i/>
                <w:iCs/>
                <w:lang w:val="uk-UA"/>
              </w:rPr>
              <w:t>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DF0F29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Ціна, яка застосовується для визначення сум п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опередньої 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 xml:space="preserve">дорівнює </w:t>
            </w:r>
            <w:r w:rsidR="00FD59F1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1,75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/</w:t>
            </w:r>
            <w:r w:rsidR="000A3FF3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кВ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т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A4716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без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урахування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ПДВ</w:t>
            </w:r>
            <w:r w:rsidR="004E2EEA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C62BF7" w:rsidTr="002969E6">
        <w:trPr>
          <w:trHeight w:val="627"/>
        </w:trPr>
        <w:tc>
          <w:tcPr>
            <w:tcW w:w="2802" w:type="dxa"/>
          </w:tcPr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EA2D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через Постачальника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D15BA6" w:rsidTr="002969E6">
        <w:trPr>
          <w:trHeight w:val="1691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C62BF7" w:rsidTr="002969E6">
        <w:trPr>
          <w:trHeight w:val="286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C62BF7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Обсяги поставленої/спожитої електричної енергії Споживачу Постачальник визначає відповідно до даних, отриманих від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Оператора системи розподілу.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C62BF7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:rsidTr="002969E6">
        <w:tc>
          <w:tcPr>
            <w:tcW w:w="2802" w:type="dxa"/>
          </w:tcPr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 w:rsidP="003D71FE">
      <w:pPr>
        <w:pStyle w:val="PreformattedText"/>
        <w:rPr>
          <w:lang w:val="uk-UA"/>
        </w:rPr>
      </w:pPr>
    </w:p>
    <w:p w:rsidR="00E10E2D" w:rsidRPr="003D71FE" w:rsidRDefault="00A02240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sz w:val="24"/>
          <w:szCs w:val="24"/>
          <w:lang w:val="ru-RU"/>
        </w:rPr>
        <w:t xml:space="preserve">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Іванчук</w:t>
      </w:r>
    </w:p>
    <w:p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tbl>
      <w:tblPr>
        <w:tblW w:w="10422" w:type="dxa"/>
        <w:tblInd w:w="-108" w:type="dxa"/>
        <w:tblLayout w:type="fixed"/>
        <w:tblLook w:val="0000"/>
      </w:tblPr>
      <w:tblGrid>
        <w:gridCol w:w="10422"/>
      </w:tblGrid>
      <w:tr w:rsidR="007F1133" w:rsidRPr="002969E6" w:rsidTr="001A0D25">
        <w:trPr>
          <w:trHeight w:val="340"/>
        </w:trPr>
        <w:tc>
          <w:tcPr>
            <w:tcW w:w="10422" w:type="dxa"/>
          </w:tcPr>
          <w:p w:rsidR="00E10E2D" w:rsidRPr="002969E6" w:rsidRDefault="004A39F6">
            <w:pPr>
              <w:pStyle w:val="Default"/>
              <w:spacing w:before="120"/>
              <w:ind w:firstLine="108"/>
              <w:rPr>
                <w:b/>
                <w:bCs/>
                <w:sz w:val="23"/>
                <w:szCs w:val="23"/>
                <w:lang w:val="uk-UA"/>
              </w:rPr>
            </w:pPr>
            <w:r w:rsidRPr="002969E6">
              <w:rPr>
                <w:b/>
                <w:bCs/>
                <w:sz w:val="23"/>
                <w:szCs w:val="23"/>
                <w:lang w:val="uk-UA"/>
              </w:rPr>
              <w:t>_________________________________________________________________________</w:t>
            </w:r>
          </w:p>
        </w:tc>
      </w:tr>
    </w:tbl>
    <w:p w:rsidR="00504CD2" w:rsidRPr="002969E6" w:rsidRDefault="002969E6" w:rsidP="002969E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:rsidR="00504CD2" w:rsidRPr="002969E6" w:rsidRDefault="004A39F6" w:rsidP="00504CD2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</w:t>
      </w:r>
      <w:r w:rsidR="00504CD2" w:rsidRPr="002969E6">
        <w:rPr>
          <w:rFonts w:ascii="Times New Roman" w:hAnsi="Times New Roman" w:cs="Times New Roman"/>
          <w:lang w:val="uk-UA"/>
        </w:rPr>
        <w:t>»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Pr="002969E6">
        <w:rPr>
          <w:rFonts w:ascii="Times New Roman" w:hAnsi="Times New Roman" w:cs="Times New Roman"/>
          <w:lang w:val="uk-UA"/>
        </w:rPr>
        <w:t xml:space="preserve"> ________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="00504CD2" w:rsidRPr="002969E6">
        <w:rPr>
          <w:rFonts w:ascii="Times New Roman" w:hAnsi="Times New Roman" w:cs="Times New Roman"/>
          <w:lang w:val="uk-UA"/>
        </w:rPr>
        <w:t xml:space="preserve"> 202</w:t>
      </w:r>
      <w:r w:rsidRPr="002969E6">
        <w:rPr>
          <w:rFonts w:ascii="Times New Roman" w:hAnsi="Times New Roman" w:cs="Times New Roman"/>
          <w:lang w:val="uk-UA"/>
        </w:rPr>
        <w:t>1</w:t>
      </w:r>
      <w:r w:rsidR="00504CD2" w:rsidRPr="002969E6">
        <w:rPr>
          <w:rFonts w:ascii="Times New Roman" w:hAnsi="Times New Roman" w:cs="Times New Roman"/>
          <w:lang w:val="uk-UA"/>
        </w:rPr>
        <w:t xml:space="preserve"> р.</w:t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="00504CD2" w:rsidRPr="002969E6">
        <w:rPr>
          <w:rFonts w:ascii="Times New Roman" w:hAnsi="Times New Roman" w:cs="Times New Roman"/>
          <w:lang w:val="uk-UA"/>
        </w:rPr>
        <w:t>/</w:t>
      </w:r>
      <w:r w:rsidR="00504CD2"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="00504CD2" w:rsidRPr="002969E6">
        <w:rPr>
          <w:rFonts w:ascii="Times New Roman" w:hAnsi="Times New Roman" w:cs="Times New Roman"/>
          <w:lang w:val="uk-UA"/>
        </w:rPr>
        <w:t>/</w:t>
      </w:r>
    </w:p>
    <w:p w:rsidR="00504CD2" w:rsidRPr="002969E6" w:rsidRDefault="00504CD2" w:rsidP="00504CD2">
      <w:pPr>
        <w:ind w:left="354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sectPr w:rsidR="00504CD2" w:rsidRPr="002969E6" w:rsidSect="00182D3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DF" w:rsidRDefault="004767DF" w:rsidP="0007058C">
      <w:r>
        <w:separator/>
      </w:r>
    </w:p>
  </w:endnote>
  <w:endnote w:type="continuationSeparator" w:id="1">
    <w:p w:rsidR="004767DF" w:rsidRDefault="004767DF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C03329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C03329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6B23CC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DF" w:rsidRDefault="004767DF" w:rsidP="0007058C">
      <w:r>
        <w:separator/>
      </w:r>
    </w:p>
  </w:footnote>
  <w:footnote w:type="continuationSeparator" w:id="1">
    <w:p w:rsidR="004767DF" w:rsidRDefault="004767DF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  <w:r>
      <w:rPr>
        <w:lang w:val="ru-RU"/>
      </w:rPr>
      <w:t xml:space="preserve"> </w:t>
    </w: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07BC3"/>
    <w:rsid w:val="0005741F"/>
    <w:rsid w:val="0007058C"/>
    <w:rsid w:val="00080BAF"/>
    <w:rsid w:val="000A3FF3"/>
    <w:rsid w:val="000B4370"/>
    <w:rsid w:val="00155F4C"/>
    <w:rsid w:val="001614A2"/>
    <w:rsid w:val="00182D3D"/>
    <w:rsid w:val="001A0D25"/>
    <w:rsid w:val="001B1A6C"/>
    <w:rsid w:val="001D35D9"/>
    <w:rsid w:val="001E5746"/>
    <w:rsid w:val="00253D23"/>
    <w:rsid w:val="002969E6"/>
    <w:rsid w:val="002B10D6"/>
    <w:rsid w:val="002D41D2"/>
    <w:rsid w:val="002E58AC"/>
    <w:rsid w:val="002F41ED"/>
    <w:rsid w:val="002F4B81"/>
    <w:rsid w:val="00376A75"/>
    <w:rsid w:val="00381ABC"/>
    <w:rsid w:val="003D71FE"/>
    <w:rsid w:val="004767DF"/>
    <w:rsid w:val="00481BB4"/>
    <w:rsid w:val="004A39F6"/>
    <w:rsid w:val="004C69B9"/>
    <w:rsid w:val="004E2EEA"/>
    <w:rsid w:val="00504CD2"/>
    <w:rsid w:val="0051679C"/>
    <w:rsid w:val="00572477"/>
    <w:rsid w:val="00597EE7"/>
    <w:rsid w:val="005D70E3"/>
    <w:rsid w:val="00613615"/>
    <w:rsid w:val="00676D5E"/>
    <w:rsid w:val="006B220F"/>
    <w:rsid w:val="006B23CC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F1133"/>
    <w:rsid w:val="0082436D"/>
    <w:rsid w:val="00831DA2"/>
    <w:rsid w:val="00874385"/>
    <w:rsid w:val="008C6026"/>
    <w:rsid w:val="00954C40"/>
    <w:rsid w:val="00976BB9"/>
    <w:rsid w:val="00993B03"/>
    <w:rsid w:val="00996FAE"/>
    <w:rsid w:val="009B137A"/>
    <w:rsid w:val="00A02240"/>
    <w:rsid w:val="00A1477B"/>
    <w:rsid w:val="00A164DF"/>
    <w:rsid w:val="00A3279E"/>
    <w:rsid w:val="00A4716C"/>
    <w:rsid w:val="00A475CD"/>
    <w:rsid w:val="00AA641C"/>
    <w:rsid w:val="00AF1872"/>
    <w:rsid w:val="00AF4FF0"/>
    <w:rsid w:val="00B21C92"/>
    <w:rsid w:val="00B608DC"/>
    <w:rsid w:val="00B81058"/>
    <w:rsid w:val="00BA51F4"/>
    <w:rsid w:val="00BA6473"/>
    <w:rsid w:val="00BC7031"/>
    <w:rsid w:val="00BD4D48"/>
    <w:rsid w:val="00BE4C46"/>
    <w:rsid w:val="00BE784C"/>
    <w:rsid w:val="00BF053A"/>
    <w:rsid w:val="00C03329"/>
    <w:rsid w:val="00C62BF7"/>
    <w:rsid w:val="00C65FBB"/>
    <w:rsid w:val="00CC2814"/>
    <w:rsid w:val="00CE3188"/>
    <w:rsid w:val="00D15BA6"/>
    <w:rsid w:val="00D56C3C"/>
    <w:rsid w:val="00D64111"/>
    <w:rsid w:val="00DA2EAC"/>
    <w:rsid w:val="00DC23EA"/>
    <w:rsid w:val="00DD5562"/>
    <w:rsid w:val="00DF0F29"/>
    <w:rsid w:val="00E00478"/>
    <w:rsid w:val="00E03880"/>
    <w:rsid w:val="00E1041A"/>
    <w:rsid w:val="00E10E2D"/>
    <w:rsid w:val="00E27F69"/>
    <w:rsid w:val="00E37B78"/>
    <w:rsid w:val="00E62E0B"/>
    <w:rsid w:val="00EA2DD8"/>
    <w:rsid w:val="00EF2857"/>
    <w:rsid w:val="00F04CD0"/>
    <w:rsid w:val="00F15468"/>
    <w:rsid w:val="00F4280C"/>
    <w:rsid w:val="00FA02D9"/>
    <w:rsid w:val="00FC358F"/>
    <w:rsid w:val="00FD59F1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3</cp:revision>
  <cp:lastPrinted>2021-03-09T11:17:00Z</cp:lastPrinted>
  <dcterms:created xsi:type="dcterms:W3CDTF">2021-03-22T13:26:00Z</dcterms:created>
  <dcterms:modified xsi:type="dcterms:W3CDTF">2021-03-22T13:27:00Z</dcterms:modified>
  <dc:language>en-US</dc:language>
</cp:coreProperties>
</file>