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0" w:rsidRPr="00D642B6" w:rsidRDefault="00651190" w:rsidP="00651190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651190" w:rsidRPr="00D642B6" w:rsidRDefault="00651190" w:rsidP="00651190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651190" w:rsidRDefault="00651190" w:rsidP="00651190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:rsidR="00651190" w:rsidRDefault="00651190" w:rsidP="0065119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№ ___________</w:t>
      </w:r>
      <w:r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:rsidR="00FC358F" w:rsidRPr="009D332D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Pr="00423971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651190" w:rsidRDefault="00651190" w:rsidP="0065119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«01» березня 2021р.</w:t>
      </w:r>
    </w:p>
    <w:p w:rsidR="00FC358F" w:rsidRPr="009D332D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електричної енергії як товарної продукції.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Pr="00370AA6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>ТОРГІВЕЛЬНИЙ ДІМ «УКРЕНЕРГОЗБУТ</w:t>
      </w:r>
      <w:r w:rsidRPr="00370A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 з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p w:rsidR="00676D5E" w:rsidRPr="00FC358F" w:rsidRDefault="00676D5E">
      <w:pPr>
        <w:pStyle w:val="PreformattedText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3085"/>
        <w:gridCol w:w="7103"/>
      </w:tblGrid>
      <w:tr w:rsidR="00FC358F" w:rsidRPr="00D400E4" w:rsidTr="001B6509">
        <w:tc>
          <w:tcPr>
            <w:tcW w:w="3085" w:type="dxa"/>
          </w:tcPr>
          <w:p w:rsidR="00FC358F" w:rsidRPr="00370AA6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103" w:type="dxa"/>
          </w:tcPr>
          <w:p w:rsidR="00FC358F" w:rsidRPr="00D400E4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1B6509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370AA6" w:rsidTr="001B6509">
        <w:tc>
          <w:tcPr>
            <w:tcW w:w="3085" w:type="dxa"/>
          </w:tcPr>
          <w:p w:rsidR="00FC358F" w:rsidRPr="00370AA6" w:rsidRDefault="00FC358F" w:rsidP="001B6509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1B6509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Ціна (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Цф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за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кВт*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енергії, що фактично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впродовж розрахункового періоду визначається по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завершенню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розрахункового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періоду за формулою: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Цф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= 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РДН + 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Тп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+ 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Цпост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де: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РДН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середньозважена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ціна купівлі електричної енергії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ринку «на добу наперед» (РДН), яка наведена на офіційному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сайті Оператору ринку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www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oree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com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GB"/>
              </w:rPr>
              <w:t>ua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 відповідний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період, грн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 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без ПДВ;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Тп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тариф на послуги з передачі електричної енергії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затверджений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НКРЕКП на відповідний розрахунковий період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грн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/кВт *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без ПДВ;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Цпост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- ціна послуг Постачальники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0,15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(нуль грн.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п’ятнадцять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копійок), (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грн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/кВт *</w:t>
            </w:r>
            <w:proofErr w:type="spellStart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 без ПДВ;</w:t>
            </w:r>
          </w:p>
          <w:p w:rsidR="00FC358F" w:rsidRPr="00FC358F" w:rsidRDefault="00FC358F" w:rsidP="00FC358F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Крім того, ПДВ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20%.</w:t>
            </w:r>
          </w:p>
          <w:p w:rsidR="00FC358F" w:rsidRPr="00370AA6" w:rsidRDefault="00FC358F" w:rsidP="001B6509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651190" w:rsidTr="001B6509">
        <w:tc>
          <w:tcPr>
            <w:tcW w:w="3085" w:type="dxa"/>
          </w:tcPr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FC358F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FC358F" w:rsidRPr="00FC358F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Споживач здійснює оплату за електричну енергію 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наступному  порядку.</w:t>
            </w:r>
          </w:p>
          <w:p w:rsidR="00FC358F" w:rsidRDefault="00FC358F" w:rsidP="0007058C">
            <w:pPr>
              <w:pStyle w:val="a9"/>
              <w:numPr>
                <w:ilvl w:val="0"/>
                <w:numId w:val="1"/>
              </w:numPr>
              <w:ind w:left="39" w:right="247" w:firstLine="425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40% вартості заявлених (прогнозованих) обсягів споживання електричної енергії не пізніше, ніж за п’ять днів до початку розрахункового періоду (місяця)</w:t>
            </w:r>
            <w:r w:rsidR="007E2269">
              <w:rPr>
                <w:rFonts w:ascii="Times New Roman" w:hAnsi="Times New Roman" w:cs="Times New Roman"/>
                <w:i/>
                <w:iCs/>
                <w:lang w:val="ru-RU"/>
              </w:rPr>
              <w:t>;</w:t>
            </w:r>
          </w:p>
          <w:p w:rsidR="00FC358F" w:rsidRDefault="00FC358F" w:rsidP="0007058C">
            <w:pPr>
              <w:pStyle w:val="a9"/>
              <w:numPr>
                <w:ilvl w:val="0"/>
                <w:numId w:val="1"/>
              </w:numPr>
              <w:ind w:left="0" w:right="247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30% вартості заявлених (прогнозованих) обсягів споживання електричної енергії не пізніше п’ятого дня розрахункового місяця</w:t>
            </w:r>
            <w:r w:rsidR="007E2269">
              <w:rPr>
                <w:rFonts w:ascii="Times New Roman" w:hAnsi="Times New Roman" w:cs="Times New Roman"/>
                <w:i/>
                <w:iCs/>
                <w:lang w:val="uk-UA"/>
              </w:rPr>
              <w:t>;</w:t>
            </w:r>
          </w:p>
          <w:p w:rsidR="00FC358F" w:rsidRPr="00FC358F" w:rsidRDefault="00FC358F" w:rsidP="0007058C">
            <w:pPr>
              <w:pStyle w:val="a9"/>
              <w:numPr>
                <w:ilvl w:val="0"/>
                <w:numId w:val="1"/>
              </w:numPr>
              <w:ind w:left="0" w:right="247" w:firstLine="464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t>30% вартості заявлених (прогнозованих) обсягів споживання електричної енергії не пізніше п’ятнадцятого дня розрахункового місяця.</w:t>
            </w:r>
          </w:p>
          <w:p w:rsidR="00FC358F" w:rsidRPr="00FC358F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Ціна, яка застосовується для визначення сум попередньої оплати, дорівнює 1,75 грн. без урахування ПДВ.</w:t>
            </w:r>
          </w:p>
          <w:p w:rsidR="00FC358F" w:rsidRDefault="00FC358F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C3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поточний рахунок Постачальника із спеціальним режимом використання, який зазначено у розрахункових/платіжних документах.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07058C" w:rsidRDefault="0007058C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07058C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07058C" w:rsidRDefault="00FC358F" w:rsidP="0007058C">
            <w:pPr>
              <w:ind w:right="247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сума коштів, сплачених Споживачем я (за електричну  енергію, спожиту у відповідному розрахунковому періоді), перевищую фактичну вартість спожитої електричної енергії, </w:t>
            </w:r>
            <w:proofErr w:type="spellStart"/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надлишково</w:t>
            </w:r>
            <w:proofErr w:type="spellEnd"/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сплачені кошти враховуються при визначен</w:t>
            </w:r>
            <w:r w:rsid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Pr="000705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платежі Споживача за електричну енергію, спожиту у наступному розрахунковому періоді.</w:t>
            </w:r>
          </w:p>
        </w:tc>
      </w:tr>
      <w:tr w:rsidR="0007058C" w:rsidRPr="00651190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 здійснює оплату послуг з розподілу самостійно.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651190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4.6. Урахування пільг, 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субсидій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651190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4.7.Термін надання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651190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4.8. Порядок звіряння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</w:t>
            </w:r>
            <w:proofErr w:type="spellStart"/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непідписання</w:t>
            </w:r>
            <w:proofErr w:type="spellEnd"/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651190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4.9. Строк дії Договору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електричної енергії до 31 грудня 2020 року, а в частині проведення розрахунків - до їх повного здійснення.</w:t>
            </w:r>
          </w:p>
          <w:p w:rsidR="0007058C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07058C" w:rsidRPr="00370AA6" w:rsidTr="001B6509">
        <w:tc>
          <w:tcPr>
            <w:tcW w:w="3085" w:type="dxa"/>
          </w:tcPr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4.10. Розмір компенсації Споживачу 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07058C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07058C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>
      <w:pPr>
        <w:pStyle w:val="PreformattedText"/>
        <w:rPr>
          <w:lang w:val="uk-UA"/>
        </w:rPr>
      </w:pPr>
    </w:p>
    <w:p w:rsidR="00676D5E" w:rsidRDefault="00A02240">
      <w:pPr>
        <w:pStyle w:val="PreformattedText"/>
        <w:rPr>
          <w:lang w:val="ru-RU"/>
        </w:rPr>
      </w:pPr>
      <w:r w:rsidRPr="00FC358F">
        <w:rPr>
          <w:lang w:val="ru-RU"/>
        </w:rPr>
        <w:t xml:space="preserve"> </w:t>
      </w:r>
    </w:p>
    <w:p w:rsidR="00651190" w:rsidRPr="003D71FE" w:rsidRDefault="00651190" w:rsidP="00651190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proofErr w:type="gramStart"/>
      <w:r w:rsidRPr="003D71FE">
        <w:rPr>
          <w:rFonts w:ascii="Times New Roman" w:hAnsi="Times New Roman" w:cs="Times New Roman"/>
          <w:sz w:val="24"/>
          <w:szCs w:val="24"/>
          <w:lang w:val="ru-RU"/>
        </w:rPr>
        <w:t>ТОВ</w:t>
      </w:r>
      <w:proofErr w:type="gramEnd"/>
      <w:r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 «ТД «УКРЕНЕРГОЗБУТ»        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_______________________ </w:t>
      </w:r>
      <w:r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</w:t>
      </w:r>
      <w:proofErr w:type="spellStart"/>
      <w:r w:rsidRPr="003D71FE">
        <w:rPr>
          <w:rFonts w:ascii="Times New Roman" w:hAnsi="Times New Roman" w:cs="Times New Roman"/>
          <w:sz w:val="24"/>
          <w:szCs w:val="24"/>
          <w:lang w:val="ru-RU"/>
        </w:rPr>
        <w:t>Іванчук</w:t>
      </w:r>
      <w:proofErr w:type="spellEnd"/>
    </w:p>
    <w:p w:rsidR="00651190" w:rsidRPr="002969E6" w:rsidRDefault="00651190" w:rsidP="00651190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1190" w:rsidRPr="002969E6" w:rsidRDefault="00651190" w:rsidP="00651190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tbl>
      <w:tblPr>
        <w:tblW w:w="10422" w:type="dxa"/>
        <w:tblInd w:w="-108" w:type="dxa"/>
        <w:tblLayout w:type="fixed"/>
        <w:tblLook w:val="0000"/>
      </w:tblPr>
      <w:tblGrid>
        <w:gridCol w:w="10422"/>
      </w:tblGrid>
      <w:tr w:rsidR="00651190" w:rsidRPr="002969E6" w:rsidTr="007C6FBA">
        <w:trPr>
          <w:trHeight w:val="340"/>
        </w:trPr>
        <w:tc>
          <w:tcPr>
            <w:tcW w:w="10422" w:type="dxa"/>
          </w:tcPr>
          <w:p w:rsidR="00651190" w:rsidRPr="002969E6" w:rsidRDefault="00651190" w:rsidP="007C6FBA">
            <w:pPr>
              <w:pStyle w:val="Default"/>
              <w:spacing w:before="120"/>
              <w:ind w:firstLine="108"/>
              <w:rPr>
                <w:b/>
                <w:bCs/>
                <w:sz w:val="23"/>
                <w:szCs w:val="23"/>
                <w:lang w:val="uk-UA"/>
              </w:rPr>
            </w:pPr>
            <w:r w:rsidRPr="002969E6">
              <w:rPr>
                <w:b/>
                <w:bCs/>
                <w:sz w:val="23"/>
                <w:szCs w:val="23"/>
                <w:lang w:val="uk-UA"/>
              </w:rPr>
              <w:t>_________________________________________________________________________</w:t>
            </w:r>
          </w:p>
        </w:tc>
      </w:tr>
    </w:tbl>
    <w:p w:rsidR="00651190" w:rsidRPr="002969E6" w:rsidRDefault="00651190" w:rsidP="0065119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:rsidR="00651190" w:rsidRPr="002969E6" w:rsidRDefault="00651190" w:rsidP="00651190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«_____»  ________  2021 р.</w:t>
      </w: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lang w:val="uk-UA"/>
        </w:rPr>
        <w:tab/>
      </w:r>
      <w:r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Pr="002969E6">
        <w:rPr>
          <w:rFonts w:ascii="Times New Roman" w:hAnsi="Times New Roman" w:cs="Times New Roman"/>
          <w:lang w:val="uk-UA"/>
        </w:rPr>
        <w:t>/</w:t>
      </w:r>
      <w:r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Pr="002969E6">
        <w:rPr>
          <w:rFonts w:ascii="Times New Roman" w:hAnsi="Times New Roman" w:cs="Times New Roman"/>
          <w:lang w:val="uk-UA"/>
        </w:rPr>
        <w:t>/</w:t>
      </w:r>
    </w:p>
    <w:p w:rsidR="00651190" w:rsidRPr="002969E6" w:rsidRDefault="00651190" w:rsidP="00651190">
      <w:pPr>
        <w:ind w:left="354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p w:rsidR="0007058C" w:rsidRPr="00651190" w:rsidRDefault="0007058C">
      <w:pPr>
        <w:pStyle w:val="PreformattedText"/>
        <w:rPr>
          <w:lang w:val="uk-UA"/>
        </w:rPr>
      </w:pPr>
    </w:p>
    <w:p w:rsidR="0007058C" w:rsidRPr="009D332D" w:rsidRDefault="0007058C" w:rsidP="0007058C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07058C" w:rsidRPr="00370AA6" w:rsidRDefault="00651190" w:rsidP="0007058C">
      <w:pPr>
        <w:pStyle w:val="PreformattedTex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76D5E" w:rsidRPr="0007058C" w:rsidRDefault="00676D5E">
      <w:pPr>
        <w:pStyle w:val="PreformattedText"/>
        <w:rPr>
          <w:lang w:val="uk-UA"/>
        </w:rPr>
      </w:pPr>
    </w:p>
    <w:sectPr w:rsidR="00676D5E" w:rsidRPr="0007058C" w:rsidSect="00182D3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00" w:rsidRDefault="00D21700" w:rsidP="0007058C">
      <w:r>
        <w:separator/>
      </w:r>
    </w:p>
  </w:endnote>
  <w:endnote w:type="continuationSeparator" w:id="0">
    <w:p w:rsidR="00D21700" w:rsidRDefault="00D21700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BD6387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BD6387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65119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00" w:rsidRDefault="00D21700" w:rsidP="0007058C">
      <w:r>
        <w:separator/>
      </w:r>
    </w:p>
  </w:footnote>
  <w:footnote w:type="continuationSeparator" w:id="0">
    <w:p w:rsidR="00D21700" w:rsidRDefault="00D21700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uk-UA" w:eastAsia="zh-TW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502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D5E"/>
    <w:rsid w:val="0005741F"/>
    <w:rsid w:val="0007058C"/>
    <w:rsid w:val="00182D3D"/>
    <w:rsid w:val="00651190"/>
    <w:rsid w:val="00676D5E"/>
    <w:rsid w:val="007E2269"/>
    <w:rsid w:val="00A02240"/>
    <w:rsid w:val="00A1477B"/>
    <w:rsid w:val="00A164DF"/>
    <w:rsid w:val="00A475CD"/>
    <w:rsid w:val="00BD4D48"/>
    <w:rsid w:val="00BD6387"/>
    <w:rsid w:val="00BE4C46"/>
    <w:rsid w:val="00C65FBB"/>
    <w:rsid w:val="00D21700"/>
    <w:rsid w:val="00FC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6511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4259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Юлия</cp:lastModifiedBy>
  <cp:revision>2</cp:revision>
  <dcterms:created xsi:type="dcterms:W3CDTF">2021-04-27T10:55:00Z</dcterms:created>
  <dcterms:modified xsi:type="dcterms:W3CDTF">2021-04-27T10:55:00Z</dcterms:modified>
  <dc:language>en-US</dc:language>
</cp:coreProperties>
</file>