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0" w:after="40" w:line="259" w:lineRule="auto"/>
      </w:pPr>
      <w:r>
        <w:rPr>
          <w:rFonts w:ascii="Arial" w:hAnsi="Arial"/>
          <w:b/>
          <w:i w:val="0"/>
          <w:color w:val="0E7C82"/>
          <w:sz w:val="18"/>
        </w:rPr>
        <w:t>КОЛИ НАПРАВЛЯТИ ПАЦІЄНТА</w:t>
      </w:r>
    </w:p>
    <w:p>
      <w:pPr>
        <w:keepNext/>
        <w:spacing w:before="0" w:after="60" w:line="259" w:lineRule="auto"/>
      </w:pPr>
      <w:r>
        <w:rPr>
          <w:rFonts w:ascii="Arial" w:hAnsi="Arial"/>
          <w:b/>
          <w:i w:val="0"/>
          <w:color w:val="173B5E"/>
          <w:sz w:val="39"/>
        </w:rPr>
        <w:t>На оцінку можливості РЧА вузла щитоподібної залози</w:t>
      </w:r>
    </w:p>
    <w:p>
      <w:pPr>
        <w:spacing w:before="0" w:after="140" w:line="259" w:lineRule="auto"/>
      </w:pPr>
      <w:r>
        <w:rPr>
          <w:rFonts w:ascii="Arial" w:hAnsi="Arial"/>
          <w:b w:val="0"/>
          <w:i w:val="0"/>
          <w:color w:val="667085"/>
          <w:sz w:val="21"/>
        </w:rPr>
        <w:t>Для сімейних лікарів, терапевтів та ендокринологів</w:t>
      </w:r>
    </w:p>
    <w:tbl>
      <w:tblPr>
        <w:tblW w:type="dxa" w:w="912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120"/>
      </w:tblGrid>
      <w:tr>
        <w:trPr>
          <w:cantSplit w:val="true"/>
        </w:trPr>
        <w:tc>
          <w:tcPr>
            <w:tcW w:type="dxa" w:w="9120"/>
            <w:shd w:fill="EAF1F7"/>
            <w:tcMar>
              <w:top w:w="95" w:type="dxa"/>
              <w:start w:w="130" w:type="dxa"/>
              <w:bottom w:w="95" w:type="dxa"/>
              <w:end w:w="130" w:type="dxa"/>
            </w:tcMar>
            <w:tcBorders>
              <w:left w:val="single" w:sz="18" w:color="0E7C82"/>
            </w:tcBorders>
            <w:vAlign w:val="center"/>
          </w:tcPr>
          <w:p>
            <w:pPr>
              <w:spacing w:after="0" w:line="254" w:lineRule="auto"/>
            </w:pPr>
            <w:r>
              <w:rPr>
                <w:rFonts w:ascii="Arial" w:hAnsi="Arial"/>
                <w:b/>
                <w:i w:val="0"/>
                <w:color w:val="0E7C82"/>
                <w:sz w:val="20"/>
              </w:rPr>
              <w:t xml:space="preserve">Головне. </w:t>
            </w:r>
            <w:r>
              <w:rPr>
                <w:rFonts w:ascii="Arial" w:hAnsi="Arial"/>
                <w:b w:val="0"/>
                <w:i w:val="0"/>
                <w:color w:val="17212B"/>
                <w:sz w:val="20"/>
              </w:rPr>
              <w:t>Пацієнт направляється не «на РЧА», а на консультацію для оцінки можливості РЧА. Направлення не означає, що процедура вже показана або буде виконана.</w:t>
            </w:r>
          </w:p>
        </w:tc>
      </w:tr>
    </w:tbl>
    <w:p>
      <w:pPr>
        <w:pStyle w:val="Heading1"/>
        <w:keepNext/>
      </w:pPr>
      <w:r>
        <w:t>1. Кого доцільно направити</w:t>
      </w:r>
    </w:p>
    <w:p>
      <w:pPr>
        <w:pStyle w:val="ListBullet"/>
        <w:spacing w:before="0" w:after="28" w:line="250" w:lineRule="auto"/>
      </w:pPr>
      <w:r>
        <w:rPr>
          <w:rFonts w:ascii="Arial" w:hAnsi="Arial"/>
          <w:b w:val="0"/>
          <w:i w:val="0"/>
          <w:color w:val="17212B"/>
          <w:sz w:val="19"/>
        </w:rPr>
        <w:t>Дорослого пацієнта з одним або чітко домінантним вузлом, який спричиняє тиск, дискомфорт, утруднення ковтання, відчуття «кома» чи косметичну проблему.</w:t>
      </w:r>
    </w:p>
    <w:p>
      <w:pPr>
        <w:pStyle w:val="ListBullet"/>
        <w:spacing w:before="0" w:after="28" w:line="250" w:lineRule="auto"/>
      </w:pPr>
      <w:r>
        <w:rPr>
          <w:rFonts w:ascii="Arial" w:hAnsi="Arial"/>
          <w:b w:val="0"/>
          <w:i w:val="0"/>
          <w:color w:val="17212B"/>
          <w:sz w:val="19"/>
        </w:rPr>
        <w:t>Пацієнта з доброякісним вузлом, що документовано збільшується і вже потребує лікування.</w:t>
      </w:r>
    </w:p>
    <w:p>
      <w:pPr>
        <w:pStyle w:val="ListBullet"/>
        <w:spacing w:before="0" w:after="28" w:line="250" w:lineRule="auto"/>
      </w:pPr>
      <w:r>
        <w:rPr>
          <w:rFonts w:ascii="Arial" w:hAnsi="Arial"/>
          <w:b w:val="0"/>
          <w:i w:val="0"/>
          <w:color w:val="17212B"/>
          <w:sz w:val="19"/>
        </w:rPr>
        <w:t>Пацієнта, який бажає уникнути операції або має підвищений хірургічний/анестезіологічний ризик, але розуміє, що РЧА підходить не всім.</w:t>
      </w:r>
    </w:p>
    <w:p>
      <w:pPr>
        <w:pStyle w:val="ListBullet"/>
        <w:spacing w:before="0" w:after="28" w:line="250" w:lineRule="auto"/>
      </w:pPr>
      <w:r>
        <w:rPr>
          <w:rFonts w:ascii="Arial" w:hAnsi="Arial"/>
          <w:b w:val="0"/>
          <w:i w:val="0"/>
          <w:color w:val="17212B"/>
          <w:sz w:val="19"/>
        </w:rPr>
        <w:t>Зазвичай — при вузлі від 2–3 см; однак вирішальними є симптоми, локалізація, об’єм і технічна доступність, а не лише діаметр.</w:t>
      </w:r>
    </w:p>
    <w:p>
      <w:pPr>
        <w:pStyle w:val="ListBullet"/>
        <w:spacing w:before="0" w:after="28" w:line="250" w:lineRule="auto"/>
      </w:pPr>
      <w:r>
        <w:rPr>
          <w:rFonts w:ascii="Arial" w:hAnsi="Arial"/>
          <w:b w:val="0"/>
          <w:i w:val="0"/>
          <w:color w:val="17212B"/>
          <w:sz w:val="19"/>
        </w:rPr>
        <w:t>Доброякісність має бути підтверджена морфологічно. На етапі запуску програми перевага надається двом конкордантним результатам Bethesda II.</w:t>
      </w:r>
    </w:p>
    <w:tbl>
      <w:tblPr>
        <w:tblW w:type="dxa" w:w="912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560"/>
        <w:gridCol w:w="4560"/>
      </w:tblGrid>
      <w:tr>
        <w:trPr>
          <w:cantSplit w:val="true"/>
        </w:trPr>
        <w:tc>
          <w:tcPr>
            <w:tcW w:type="dxa" w:w="4560"/>
            <w:shd w:fill="E8F4F3"/>
            <w:tcMar>
              <w:top w:w="95" w:type="dxa"/>
              <w:start w:w="130" w:type="dxa"/>
              <w:bottom w:w="95" w:type="dxa"/>
              <w:end w:w="130" w:type="dxa"/>
            </w:tcMar>
            <w:vAlign w:val="center"/>
          </w:tcPr>
          <w:p>
            <w:pPr>
              <w:keepNext/>
              <w:spacing w:after="100"/>
            </w:pPr>
            <w:r>
              <w:rPr>
                <w:rFonts w:ascii="Arial" w:hAnsi="Arial"/>
                <w:b/>
                <w:i w:val="0"/>
                <w:color w:val="0E7C82"/>
                <w:sz w:val="22"/>
              </w:rPr>
              <w:t>Потенційно підходить</w:t>
            </w:r>
          </w:p>
          <w:p>
            <w:pPr>
              <w:pStyle w:val="ListBullet"/>
              <w:spacing w:before="0" w:after="36" w:line="245" w:lineRule="auto"/>
            </w:pPr>
            <w:r>
              <w:rPr>
                <w:rFonts w:ascii="Arial" w:hAnsi="Arial"/>
                <w:b w:val="0"/>
                <w:i w:val="0"/>
                <w:color w:val="17212B"/>
                <w:sz w:val="18"/>
              </w:rPr>
              <w:t>солідний або переважно солідний доброякісний вузол;</w:t>
            </w:r>
          </w:p>
          <w:p>
            <w:pPr>
              <w:pStyle w:val="ListBullet"/>
              <w:spacing w:before="0" w:after="36" w:line="245" w:lineRule="auto"/>
            </w:pPr>
            <w:r>
              <w:rPr>
                <w:rFonts w:ascii="Arial" w:hAnsi="Arial"/>
                <w:b w:val="0"/>
                <w:i w:val="0"/>
                <w:color w:val="17212B"/>
                <w:sz w:val="18"/>
              </w:rPr>
              <w:t>вузол низького/помірного УЗ-ризику без підозрілих лімфовузлів;</w:t>
            </w:r>
          </w:p>
          <w:p>
            <w:pPr>
              <w:pStyle w:val="ListBullet"/>
              <w:spacing w:before="0" w:after="36" w:line="245" w:lineRule="auto"/>
            </w:pPr>
            <w:r>
              <w:rPr>
                <w:rFonts w:ascii="Arial" w:hAnsi="Arial"/>
                <w:b w:val="0"/>
                <w:i w:val="0"/>
                <w:color w:val="17212B"/>
                <w:sz w:val="18"/>
              </w:rPr>
              <w:t>чіткий зв’язок між вузлом і симптомом;</w:t>
            </w:r>
          </w:p>
          <w:p>
            <w:pPr>
              <w:pStyle w:val="ListBullet"/>
              <w:spacing w:before="0" w:after="36" w:line="245" w:lineRule="auto"/>
            </w:pPr>
            <w:r>
              <w:rPr>
                <w:rFonts w:ascii="Arial" w:hAnsi="Arial"/>
                <w:b w:val="0"/>
                <w:i w:val="0"/>
                <w:color w:val="17212B"/>
                <w:sz w:val="18"/>
              </w:rPr>
              <w:t>пацієнт готовий до контрольних УЗД і розуміє можливість повторної процедури.</w:t>
            </w:r>
          </w:p>
        </w:tc>
        <w:tc>
          <w:tcPr>
            <w:tcW w:type="dxa" w:w="4560"/>
            <w:shd w:fill="FFF4D8"/>
            <w:tcMar>
              <w:top w:w="95" w:type="dxa"/>
              <w:start w:w="130" w:type="dxa"/>
              <w:bottom w:w="95" w:type="dxa"/>
              <w:end w:w="130" w:type="dxa"/>
            </w:tcMar>
            <w:vAlign w:val="center"/>
          </w:tcPr>
          <w:p>
            <w:pPr>
              <w:keepNext/>
              <w:spacing w:after="100"/>
            </w:pPr>
            <w:r>
              <w:rPr>
                <w:rFonts w:ascii="Arial" w:hAnsi="Arial"/>
                <w:b/>
                <w:i w:val="0"/>
                <w:color w:val="9A6500"/>
                <w:sz w:val="22"/>
              </w:rPr>
              <w:t>РЧА не планувати до уточнення</w:t>
            </w:r>
          </w:p>
          <w:p>
            <w:pPr>
              <w:pStyle w:val="ListBullet"/>
              <w:spacing w:before="0" w:after="36" w:line="245" w:lineRule="auto"/>
            </w:pPr>
            <w:r>
              <w:rPr>
                <w:rFonts w:ascii="Arial" w:hAnsi="Arial"/>
                <w:b w:val="0"/>
                <w:i w:val="0"/>
                <w:color w:val="17212B"/>
                <w:sz w:val="18"/>
              </w:rPr>
              <w:t>Bethesda I, III–VI або невідповідність УЗД і цитології;</w:t>
            </w:r>
          </w:p>
          <w:p>
            <w:pPr>
              <w:pStyle w:val="ListBullet"/>
              <w:spacing w:before="0" w:after="36" w:line="245" w:lineRule="auto"/>
            </w:pPr>
            <w:r>
              <w:rPr>
                <w:rFonts w:ascii="Arial" w:hAnsi="Arial"/>
                <w:b w:val="0"/>
                <w:i w:val="0"/>
                <w:color w:val="17212B"/>
                <w:sz w:val="18"/>
              </w:rPr>
              <w:t>підозра на рак чи метастатичні лімфовузли;</w:t>
            </w:r>
          </w:p>
          <w:p>
            <w:pPr>
              <w:pStyle w:val="ListBullet"/>
              <w:spacing w:before="0" w:after="36" w:line="245" w:lineRule="auto"/>
            </w:pPr>
            <w:r>
              <w:rPr>
                <w:rFonts w:ascii="Arial" w:hAnsi="Arial"/>
                <w:b w:val="0"/>
                <w:i w:val="0"/>
                <w:color w:val="17212B"/>
                <w:sz w:val="18"/>
              </w:rPr>
              <w:t>значна компресія трахеї, загруднинний компонент, великий багатовузловий зоб;</w:t>
            </w:r>
          </w:p>
          <w:p>
            <w:pPr>
              <w:pStyle w:val="ListBullet"/>
              <w:spacing w:before="0" w:after="36" w:line="245" w:lineRule="auto"/>
            </w:pPr>
            <w:r>
              <w:rPr>
                <w:rFonts w:ascii="Arial" w:hAnsi="Arial"/>
                <w:b w:val="0"/>
                <w:i w:val="0"/>
                <w:color w:val="17212B"/>
                <w:sz w:val="18"/>
              </w:rPr>
              <w:t>вагітність, некоригований гемостаз або неможливість співпраці під час процедури.</w:t>
            </w:r>
          </w:p>
        </w:tc>
      </w:tr>
    </w:tbl>
    <w:p>
      <w:pPr>
        <w:pStyle w:val="Heading1"/>
        <w:keepNext/>
      </w:pPr>
      <w:r>
        <w:t>2. Важливі супутні обставини</w:t>
      </w:r>
    </w:p>
    <w:p>
      <w:pPr>
        <w:spacing w:before="0" w:after="80" w:line="259" w:lineRule="auto"/>
      </w:pPr>
      <w:r>
        <w:rPr>
          <w:rFonts w:ascii="Arial" w:hAnsi="Arial"/>
          <w:b w:val="0"/>
          <w:i w:val="0"/>
          <w:color w:val="17212B"/>
          <w:sz w:val="19"/>
        </w:rPr>
        <w:t>Антитромботична терапія, кардіостимулятор/дефібрилятор, кохлеарний імплант, попередня операція на шиї, зміна голосу, тиреотоксикоз або переважно кістозний вузол не завжди виключають лікування, але потребують окремої оцінки. Не скасовуйте препарати самостійно лише заради консультації.</w:t>
      </w:r>
    </w:p>
    <w:p>
      <w:pPr>
        <w:pStyle w:val="Heading1"/>
        <w:keepNext/>
      </w:pPr>
      <w:r>
        <w:t>3. Що бажано дати пацієнтові із собою</w:t>
      </w:r>
    </w:p>
    <w:tbl>
      <w:tblPr>
        <w:tblW w:type="dxa" w:w="912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560"/>
        <w:gridCol w:w="4560"/>
      </w:tblGrid>
      <w:tr>
        <w:trPr>
          <w:cantSplit w:val="true"/>
        </w:trPr>
        <w:tc>
          <w:tcPr>
            <w:tcW w:type="dxa" w:w="4560"/>
            <w:shd w:fill="F3F5F7"/>
            <w:tcMar>
              <w:top w:w="95" w:type="dxa"/>
              <w:start w:w="130" w:type="dxa"/>
              <w:bottom w:w="95" w:type="dxa"/>
              <w:end w:w="130" w:type="dxa"/>
            </w:tcMar>
            <w:vAlign w:val="center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173B5E"/>
                <w:sz w:val="20"/>
              </w:rPr>
              <w:t>Основні документи</w:t>
            </w:r>
          </w:p>
          <w:p>
            <w:pPr>
              <w:pStyle w:val="ListBullet"/>
              <w:spacing w:before="0" w:after="26" w:line="245" w:lineRule="auto"/>
            </w:pPr>
            <w:r>
              <w:rPr>
                <w:rFonts w:ascii="Arial" w:hAnsi="Arial"/>
                <w:b w:val="0"/>
                <w:i w:val="0"/>
                <w:color w:val="17212B"/>
                <w:sz w:val="18"/>
              </w:rPr>
              <w:t>усі висновки УЗД у динаміці; бажано — зображення/DICOM;</w:t>
            </w:r>
          </w:p>
          <w:p>
            <w:pPr>
              <w:pStyle w:val="ListBullet"/>
              <w:spacing w:before="0" w:after="26" w:line="245" w:lineRule="auto"/>
            </w:pPr>
            <w:r>
              <w:rPr>
                <w:rFonts w:ascii="Arial" w:hAnsi="Arial"/>
                <w:b w:val="0"/>
                <w:i w:val="0"/>
                <w:color w:val="17212B"/>
                <w:sz w:val="18"/>
              </w:rPr>
              <w:t>результати ТАБ або core-біопсії із зазначенням Bethesda та дати;</w:t>
            </w:r>
          </w:p>
          <w:p>
            <w:pPr>
              <w:pStyle w:val="ListBullet"/>
              <w:spacing w:before="0" w:after="26" w:line="245" w:lineRule="auto"/>
            </w:pPr>
            <w:r>
              <w:rPr>
                <w:rFonts w:ascii="Arial" w:hAnsi="Arial"/>
                <w:b w:val="0"/>
                <w:i w:val="0"/>
                <w:color w:val="17212B"/>
                <w:sz w:val="18"/>
              </w:rPr>
              <w:t>виписки після операцій чи лікування щитоподібної залози.</w:t>
            </w:r>
          </w:p>
        </w:tc>
        <w:tc>
          <w:tcPr>
            <w:tcW w:type="dxa" w:w="4560"/>
            <w:shd w:fill="F3F5F7"/>
            <w:tcMar>
              <w:top w:w="95" w:type="dxa"/>
              <w:start w:w="130" w:type="dxa"/>
              <w:bottom w:w="95" w:type="dxa"/>
              <w:end w:w="130" w:type="dxa"/>
            </w:tcMar>
            <w:vAlign w:val="center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173B5E"/>
                <w:sz w:val="20"/>
              </w:rPr>
              <w:t>Медична інформація</w:t>
            </w:r>
          </w:p>
          <w:p>
            <w:pPr>
              <w:pStyle w:val="ListBullet"/>
              <w:spacing w:before="0" w:after="26" w:line="245" w:lineRule="auto"/>
            </w:pPr>
            <w:r>
              <w:rPr>
                <w:rFonts w:ascii="Arial" w:hAnsi="Arial"/>
                <w:b w:val="0"/>
                <w:i w:val="0"/>
                <w:color w:val="17212B"/>
                <w:sz w:val="18"/>
              </w:rPr>
              <w:t>ТТГ; вільний Т4 — якщо ТТГ змінений; кальцитонін, якщо вже визначався;</w:t>
            </w:r>
          </w:p>
          <w:p>
            <w:pPr>
              <w:pStyle w:val="ListBullet"/>
              <w:spacing w:before="0" w:after="26" w:line="245" w:lineRule="auto"/>
            </w:pPr>
            <w:r>
              <w:rPr>
                <w:rFonts w:ascii="Arial" w:hAnsi="Arial"/>
                <w:b w:val="0"/>
                <w:i w:val="0"/>
                <w:color w:val="17212B"/>
                <w:sz w:val="18"/>
              </w:rPr>
              <w:t>перелік постійних ліків, особливо антикоагулянтів/антиагрегантів;</w:t>
            </w:r>
          </w:p>
          <w:p>
            <w:pPr>
              <w:pStyle w:val="ListBullet"/>
              <w:spacing w:before="0" w:after="26" w:line="245" w:lineRule="auto"/>
            </w:pPr>
            <w:r>
              <w:rPr>
                <w:rFonts w:ascii="Arial" w:hAnsi="Arial"/>
                <w:b w:val="0"/>
                <w:i w:val="0"/>
                <w:color w:val="17212B"/>
                <w:sz w:val="18"/>
              </w:rPr>
              <w:t>дані про алергії, супутні хвороби та зміни голосу.</w:t>
            </w:r>
          </w:p>
        </w:tc>
      </w:tr>
    </w:tbl>
    <w:p>
      <w:pPr>
        <w:pStyle w:val="Heading1"/>
        <w:keepNext/>
      </w:pPr>
      <w:r>
        <w:t>4. Як сформулювати направлення</w:t>
      </w:r>
    </w:p>
    <w:tbl>
      <w:tblPr>
        <w:tblW w:type="dxa" w:w="912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120"/>
      </w:tblGrid>
      <w:tr>
        <w:trPr>
          <w:cantSplit w:val="true"/>
        </w:trPr>
        <w:tc>
          <w:tcPr>
            <w:tcW w:type="dxa" w:w="9120"/>
            <w:shd w:fill="E8F4F3"/>
            <w:tcMar>
              <w:top w:w="95" w:type="dxa"/>
              <w:start w:w="130" w:type="dxa"/>
              <w:bottom w:w="95" w:type="dxa"/>
              <w:end w:w="130" w:type="dxa"/>
            </w:tcMar>
            <w:tcBorders>
              <w:left w:val="single" w:sz="18" w:color="0E7C82"/>
            </w:tcBorders>
            <w:vAlign w:val="center"/>
          </w:tcPr>
          <w:p>
            <w:pPr>
              <w:spacing w:after="0" w:line="254" w:lineRule="auto"/>
            </w:pPr>
            <w:r>
              <w:rPr>
                <w:rFonts w:ascii="Arial" w:hAnsi="Arial"/>
                <w:b/>
                <w:i w:val="0"/>
                <w:color w:val="0E7C82"/>
                <w:sz w:val="19"/>
              </w:rPr>
              <w:t xml:space="preserve">Рекомендоване формулювання: </w:t>
            </w:r>
            <w:r>
              <w:rPr>
                <w:rFonts w:ascii="Arial" w:hAnsi="Arial"/>
                <w:b w:val="0"/>
                <w:i w:val="0"/>
                <w:color w:val="17212B"/>
                <w:sz w:val="19"/>
              </w:rPr>
              <w:t>«Направляється на консультацію хірурга-ендокринолога для оцінки можливості радіочастотної абляції домінантного вузла щитоподібної залози та вибору оптимальної тактики лікування».</w:t>
            </w:r>
          </w:p>
        </w:tc>
      </w:tr>
    </w:tbl>
    <w:p>
      <w:pPr>
        <w:spacing w:before="60" w:after="0" w:line="259" w:lineRule="auto"/>
      </w:pPr>
      <w:r>
        <w:rPr>
          <w:rFonts w:ascii="Arial" w:hAnsi="Arial"/>
          <w:b w:val="0"/>
          <w:i/>
          <w:color w:val="667085"/>
          <w:sz w:val="17"/>
        </w:rPr>
        <w:t>Відсутність частини документів не є підставою відмовляти в консультації. Остаточне рішення приймається після експертного УЗД, перевірки морфології, оцінки анатомічної безпеки та обговорення альтернатив: спостереження, операції, етанолової абляції або іншого лікування.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691" w:right="979" w:bottom="691" w:left="979" w:header="331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Arial" w:hAnsi="Arial"/>
        <w:b w:val="0"/>
        <w:i w:val="0"/>
        <w:color w:val="667085"/>
        <w:sz w:val="15"/>
      </w:rPr>
      <w:t>Хірург-ендокринолог Ян Гирла  •  surgeon-hyrla.com  •  версія 1.0 / 29.07.2026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rPr>
        <w:rFonts w:ascii="Arial" w:hAnsi="Arial"/>
        <w:b/>
        <w:i w:val="0"/>
        <w:color w:val="0E7C82"/>
        <w:sz w:val="16"/>
      </w:rPr>
      <w:t>ПАМ’ЯТКА ЛІКАРЮ</w:t>
    </w:r>
    <w:r>
      <w:t xml:space="preserve">          </w:t>
    </w:r>
    <w:r>
      <w:rPr>
        <w:rFonts w:ascii="Arial" w:hAnsi="Arial"/>
        <w:b/>
        <w:i w:val="0"/>
        <w:color w:val="667085"/>
        <w:sz w:val="16"/>
      </w:rPr>
      <w:t>ПРОГРАМА ТЕРМІЧНОЇ АБЛЯЦІЇ • ЧЕРНІВЦІ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9" w:lineRule="auto"/>
    </w:pPr>
    <w:rPr>
      <w:rFonts w:ascii="Arial" w:hAnsi="Arial"/>
      <w:color w:val="17212B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173B5E"/>
      <w:sz w:val="2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40"/>
      <w:outlineLvl w:val="1"/>
    </w:pPr>
    <w:rPr>
      <w:rFonts w:asciiTheme="majorHAnsi" w:eastAsiaTheme="majorEastAsia" w:hAnsiTheme="majorHAnsi" w:cstheme="majorBidi" w:ascii="Arial" w:hAnsi="Arial"/>
      <w:b/>
      <w:bCs/>
      <w:color w:val="0E7C82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/>
      <w:sz w:val="19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Пам’ятка лікарю: направлення на оцінку можливості РЧА</dc:title>
  <dc:subject>Односторінкова пам’ятка для лікарів первинної ланки та ендокринологів</dc:subject>
  <dc:creator>Ян Гирла</dc:creator>
  <cp:keywords>РЧА, щитоподібна залоза, направлення, сімейний лікар, ендокринолог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