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70" w:rsidRDefault="004D0D70">
      <w:pPr>
        <w:pStyle w:val="a3"/>
        <w:spacing w:before="7"/>
        <w:rPr>
          <w:sz w:val="6"/>
        </w:rPr>
      </w:pPr>
    </w:p>
    <w:p w:rsidR="004D0D70" w:rsidRDefault="000E0C8D" w:rsidP="000446BB">
      <w:pPr>
        <w:spacing w:before="73" w:line="251" w:lineRule="exact"/>
        <w:ind w:left="11" w:right="1062" w:firstLine="622"/>
        <w:rPr>
          <w:i/>
        </w:rPr>
      </w:pPr>
      <w:r>
        <w:br w:type="column"/>
      </w:r>
      <w:r>
        <w:rPr>
          <w:i/>
        </w:rPr>
        <w:lastRenderedPageBreak/>
        <w:t>Додаток</w:t>
      </w:r>
      <w:r>
        <w:rPr>
          <w:i/>
          <w:spacing w:val="-10"/>
        </w:rPr>
        <w:t>2</w:t>
      </w:r>
    </w:p>
    <w:p w:rsidR="004D0D70" w:rsidRDefault="000E0C8D" w:rsidP="000446BB">
      <w:pPr>
        <w:spacing w:line="237" w:lineRule="auto"/>
        <w:ind w:left="633" w:right="1693" w:firstLine="8"/>
        <w:rPr>
          <w:i/>
        </w:rPr>
      </w:pPr>
      <w:r>
        <w:rPr>
          <w:i/>
        </w:rPr>
        <w:t>до договору про постачання електричної</w:t>
      </w:r>
      <w:r w:rsidR="004534EE">
        <w:rPr>
          <w:i/>
        </w:rPr>
        <w:t xml:space="preserve"> </w:t>
      </w:r>
      <w:r>
        <w:rPr>
          <w:i/>
        </w:rPr>
        <w:t>енергії</w:t>
      </w:r>
      <w:r w:rsidR="004534EE">
        <w:rPr>
          <w:i/>
        </w:rPr>
        <w:t xml:space="preserve"> </w:t>
      </w:r>
      <w:r>
        <w:rPr>
          <w:i/>
        </w:rPr>
        <w:t>споживачу</w:t>
      </w:r>
    </w:p>
    <w:p w:rsidR="004D0D70" w:rsidRDefault="004D0D70">
      <w:pPr>
        <w:pStyle w:val="a3"/>
        <w:spacing w:before="8"/>
        <w:rPr>
          <w:i/>
        </w:rPr>
      </w:pPr>
    </w:p>
    <w:p w:rsidR="004D0D70" w:rsidRDefault="000E0C8D">
      <w:pPr>
        <w:spacing w:line="251" w:lineRule="exact"/>
        <w:ind w:left="5" w:right="1062"/>
        <w:jc w:val="center"/>
        <w:rPr>
          <w:b/>
        </w:rPr>
      </w:pPr>
      <w:r>
        <w:rPr>
          <w:b/>
          <w:spacing w:val="-2"/>
        </w:rPr>
        <w:t>КОМЕРЦІЙНАПРОПОЗИЦІЯ</w:t>
      </w:r>
    </w:p>
    <w:p w:rsidR="004D0D70" w:rsidRDefault="000E0C8D">
      <w:pPr>
        <w:spacing w:line="251" w:lineRule="exact"/>
        <w:ind w:right="1062"/>
        <w:jc w:val="center"/>
        <w:rPr>
          <w:b/>
        </w:rPr>
      </w:pPr>
      <w:r>
        <w:rPr>
          <w:b/>
          <w:spacing w:val="-2"/>
        </w:rPr>
        <w:t>«</w:t>
      </w:r>
      <w:r w:rsidR="000446BB">
        <w:rPr>
          <w:b/>
          <w:spacing w:val="-2"/>
        </w:rPr>
        <w:t>Базова</w:t>
      </w:r>
      <w:r>
        <w:rPr>
          <w:b/>
          <w:spacing w:val="-2"/>
        </w:rPr>
        <w:t>»</w:t>
      </w:r>
    </w:p>
    <w:p w:rsidR="004D0D70" w:rsidRDefault="004D0D70">
      <w:pPr>
        <w:spacing w:line="251" w:lineRule="exact"/>
        <w:jc w:val="center"/>
        <w:sectPr w:rsidR="004D0D70">
          <w:type w:val="continuous"/>
          <w:pgSz w:w="11910" w:h="16840"/>
          <w:pgMar w:top="740" w:right="440" w:bottom="280" w:left="740" w:header="720" w:footer="720" w:gutter="0"/>
          <w:cols w:num="2" w:space="720" w:equalWidth="0">
            <w:col w:w="4278" w:space="1196"/>
            <w:col w:w="5256"/>
          </w:cols>
        </w:sectPr>
      </w:pPr>
    </w:p>
    <w:p w:rsidR="004D0D70" w:rsidRDefault="004D0D70">
      <w:pPr>
        <w:pStyle w:val="a3"/>
        <w:spacing w:before="18"/>
        <w:rPr>
          <w:b/>
        </w:rPr>
      </w:pPr>
    </w:p>
    <w:p w:rsidR="004D0D70" w:rsidRDefault="000E0C8D" w:rsidP="004534EE">
      <w:pPr>
        <w:ind w:firstLine="709"/>
        <w:jc w:val="both"/>
      </w:pPr>
      <w:r>
        <w:rPr>
          <w:b/>
        </w:rPr>
        <w:t>Комерційна</w:t>
      </w:r>
      <w:r w:rsidR="004534EE">
        <w:rPr>
          <w:b/>
        </w:rPr>
        <w:t xml:space="preserve"> </w:t>
      </w:r>
      <w:r>
        <w:rPr>
          <w:b/>
        </w:rPr>
        <w:t>пропозиція</w:t>
      </w:r>
      <w:r w:rsidR="004534EE">
        <w:rPr>
          <w:b/>
        </w:rPr>
        <w:t xml:space="preserve"> </w:t>
      </w:r>
      <w:r w:rsidR="004534EE" w:rsidRPr="004534EE">
        <w:rPr>
          <w:b/>
        </w:rPr>
        <w:t>Товариства з обмеженою відповідальністю «КРОКВУД ЛОГІСТИК»</w:t>
      </w:r>
      <w:r w:rsidR="004534EE" w:rsidRPr="004534EE">
        <w:rPr>
          <w:b/>
          <w:lang w:eastAsia="ar-SA"/>
        </w:rPr>
        <w:t>,</w:t>
      </w:r>
      <w:r w:rsidR="004534EE" w:rsidRPr="008D17AB">
        <w:rPr>
          <w:lang w:eastAsia="ar-SA"/>
        </w:rPr>
        <w:t xml:space="preserve"> що здійснює діяльність на </w:t>
      </w:r>
      <w:r w:rsidR="004534EE" w:rsidRPr="008D17AB">
        <w:t>підставі</w:t>
      </w:r>
      <w:r w:rsidR="004534EE" w:rsidRPr="008D17AB">
        <w:rPr>
          <w:lang w:eastAsia="ar-SA"/>
        </w:rPr>
        <w:t xml:space="preserve"> ліцензії з постачанн</w:t>
      </w:r>
      <w:r w:rsidR="000446BB">
        <w:rPr>
          <w:lang w:eastAsia="ar-SA"/>
        </w:rPr>
        <w:t>я електричної енергії споживачу</w:t>
      </w:r>
      <w:r w:rsidR="004534EE" w:rsidRPr="008D17AB">
        <w:rPr>
          <w:lang w:eastAsia="ar-SA"/>
        </w:rPr>
        <w:t xml:space="preserve"> (відповідно до Постанови НКРЕП від 23.11.2022 р.№1519) </w:t>
      </w:r>
      <w:r>
        <w:t>розроблена</w:t>
      </w:r>
      <w:r w:rsidR="004534EE">
        <w:t xml:space="preserve"> </w:t>
      </w:r>
      <w:r>
        <w:t>відповідно</w:t>
      </w:r>
      <w:r w:rsidR="004534EE">
        <w:t xml:space="preserve"> </w:t>
      </w:r>
      <w:r>
        <w:t>до</w:t>
      </w:r>
      <w:r w:rsidR="004534EE">
        <w:t xml:space="preserve"> </w:t>
      </w:r>
      <w:r>
        <w:t>Закону</w:t>
      </w:r>
      <w:r w:rsidR="004534EE">
        <w:t xml:space="preserve"> </w:t>
      </w:r>
      <w:r>
        <w:rPr>
          <w:spacing w:val="-2"/>
        </w:rPr>
        <w:t>України</w:t>
      </w:r>
      <w:r w:rsidR="004534EE">
        <w:rPr>
          <w:spacing w:val="-2"/>
        </w:rPr>
        <w:t xml:space="preserve"> </w:t>
      </w:r>
      <w:r>
        <w:t>«Про ринок електричної енергії» та Правил роздрібного ринку електричної енергії, затверджених Постановою НКРЕКП від 14.03.2018р. №312 (далі – ПРРЕЕ), із змінами та доповненнями.</w:t>
      </w:r>
    </w:p>
    <w:p w:rsidR="004D0D70" w:rsidRDefault="000E0C8D">
      <w:pPr>
        <w:pStyle w:val="a3"/>
        <w:spacing w:before="199"/>
        <w:ind w:left="110"/>
        <w:jc w:val="both"/>
      </w:pPr>
      <w:r>
        <w:t>Критерії,яким</w:t>
      </w:r>
      <w:r w:rsidR="00F332D1">
        <w:t xml:space="preserve"> </w:t>
      </w:r>
      <w:r>
        <w:t>має</w:t>
      </w:r>
      <w:r w:rsidR="00F332D1">
        <w:t xml:space="preserve"> </w:t>
      </w:r>
      <w:r>
        <w:t>відповідати</w:t>
      </w:r>
      <w:r w:rsidR="00F332D1">
        <w:t xml:space="preserve"> </w:t>
      </w:r>
      <w:r>
        <w:t>споживач</w:t>
      </w:r>
      <w:r w:rsidR="00F332D1">
        <w:t xml:space="preserve"> </w:t>
      </w:r>
      <w:r>
        <w:t>для</w:t>
      </w:r>
      <w:r w:rsidR="00F332D1">
        <w:t xml:space="preserve"> </w:t>
      </w:r>
      <w:r>
        <w:t>можливості</w:t>
      </w:r>
      <w:r w:rsidR="00F332D1">
        <w:t xml:space="preserve"> </w:t>
      </w:r>
      <w:r>
        <w:t>обрання</w:t>
      </w:r>
      <w:r w:rsidR="00F332D1">
        <w:t xml:space="preserve"> </w:t>
      </w:r>
      <w:r>
        <w:t>цієї</w:t>
      </w:r>
      <w:r w:rsidR="00F332D1">
        <w:t xml:space="preserve"> </w:t>
      </w:r>
      <w:r>
        <w:t>комерційної</w:t>
      </w:r>
      <w:r w:rsidR="004534EE">
        <w:t xml:space="preserve"> </w:t>
      </w:r>
      <w:r>
        <w:rPr>
          <w:spacing w:val="-2"/>
        </w:rPr>
        <w:t>пропозиції: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before="117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не</w:t>
      </w:r>
      <w:r>
        <w:t xml:space="preserve"> </w:t>
      </w:r>
      <w:r w:rsidR="000E0C8D">
        <w:t>є побутовим</w:t>
      </w:r>
      <w:r>
        <w:t xml:space="preserve"> </w:t>
      </w:r>
      <w:r w:rsidR="000E0C8D">
        <w:rPr>
          <w:spacing w:val="-2"/>
        </w:rPr>
        <w:t>споживачем;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line="251" w:lineRule="exact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є</w:t>
      </w:r>
      <w:r>
        <w:t xml:space="preserve"> </w:t>
      </w:r>
      <w:r w:rsidR="000E0C8D">
        <w:t>власником</w:t>
      </w:r>
      <w:r>
        <w:t xml:space="preserve"> </w:t>
      </w:r>
      <w:r w:rsidR="000E0C8D">
        <w:t>(користувачем)</w:t>
      </w:r>
      <w:r w:rsidR="000E0C8D">
        <w:rPr>
          <w:spacing w:val="-2"/>
        </w:rPr>
        <w:t>об’єкта;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0"/>
        <w:ind w:right="420" w:firstLine="283"/>
      </w:pPr>
      <w:r>
        <w:t>споживач приєднався до умов договору споживача про надання послуг з розподілу (передачі) електричної енергії з оператором(</w:t>
      </w:r>
      <w:proofErr w:type="spellStart"/>
      <w:r>
        <w:t>ами</w:t>
      </w:r>
      <w:proofErr w:type="spellEnd"/>
      <w:r>
        <w:t>) системи;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3" w:line="237" w:lineRule="auto"/>
        <w:ind w:right="410" w:firstLine="283"/>
      </w:pPr>
      <w:r>
        <w:t>за об’єктом(</w:t>
      </w:r>
      <w:proofErr w:type="spellStart"/>
      <w:r>
        <w:t>ами</w:t>
      </w:r>
      <w:proofErr w:type="spellEnd"/>
      <w:r>
        <w:t>) споживача відсутня заборгованість перед Постачальником за договорами, які були укладені раніше;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ind w:right="399" w:firstLine="283"/>
      </w:pPr>
      <w:r>
        <w:t xml:space="preserve">площадки комерційного обліку споживача віднесені до групи </w:t>
      </w:r>
      <w:r>
        <w:rPr>
          <w:b/>
        </w:rPr>
        <w:t xml:space="preserve">«б» </w:t>
      </w:r>
      <w:r>
        <w:t>у встановленому нормативними документами порядку, що підтверджується оператором системи (</w:t>
      </w:r>
      <w:proofErr w:type="spellStart"/>
      <w:r>
        <w:t>інтервальний</w:t>
      </w:r>
      <w:proofErr w:type="spellEnd"/>
      <w:r>
        <w:t xml:space="preserve"> (погодинний)облік відсутній (не підтверджено актом введення в промислову експлуатацію));</w:t>
      </w:r>
    </w:p>
    <w:p w:rsidR="004D0D70" w:rsidRDefault="004D0D70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534EE" w:rsidTr="004534EE">
        <w:trPr>
          <w:trHeight w:val="306"/>
        </w:trPr>
        <w:tc>
          <w:tcPr>
            <w:tcW w:w="10497" w:type="dxa"/>
            <w:gridSpan w:val="2"/>
          </w:tcPr>
          <w:p w:rsidR="004534EE" w:rsidRPr="004534EE" w:rsidRDefault="004534EE">
            <w:pPr>
              <w:pStyle w:val="TableParagraph"/>
              <w:tabs>
                <w:tab w:val="left" w:pos="5084"/>
              </w:tabs>
              <w:spacing w:before="34"/>
              <w:ind w:left="666"/>
              <w:rPr>
                <w:b/>
              </w:rPr>
            </w:pPr>
            <w:r w:rsidRPr="004534EE">
              <w:rPr>
                <w:b/>
              </w:rPr>
              <w:t>Умова                                                                 Комерційна пропозиція</w:t>
            </w:r>
          </w:p>
        </w:tc>
      </w:tr>
      <w:tr w:rsidR="004D0D70" w:rsidTr="004534EE">
        <w:trPr>
          <w:trHeight w:val="965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383" w:right="349" w:hanging="20"/>
              <w:rPr>
                <w:b/>
                <w:i/>
              </w:rPr>
            </w:pPr>
            <w:r>
              <w:rPr>
                <w:b/>
                <w:i/>
              </w:rPr>
              <w:t xml:space="preserve">1.Територія </w:t>
            </w:r>
            <w:r>
              <w:rPr>
                <w:b/>
                <w:i/>
                <w:spacing w:val="-2"/>
              </w:rPr>
              <w:t>здійснення</w:t>
            </w:r>
          </w:p>
          <w:p w:rsidR="004D0D70" w:rsidRDefault="000E0C8D">
            <w:pPr>
              <w:pStyle w:val="TableParagraph"/>
              <w:spacing w:before="14" w:line="236" w:lineRule="exact"/>
              <w:ind w:left="465" w:right="349" w:hanging="8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ліцензованої діяльності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ind w:left="110"/>
            </w:pPr>
            <w:r>
              <w:t>Постачання</w:t>
            </w:r>
            <w:r w:rsidR="00F332D1">
              <w:t xml:space="preserve"> </w:t>
            </w:r>
            <w:r>
              <w:t>електричної</w:t>
            </w:r>
            <w:r w:rsidR="00F332D1">
              <w:t xml:space="preserve"> </w:t>
            </w:r>
            <w:r>
              <w:t>енергії</w:t>
            </w:r>
            <w:r w:rsidR="00F332D1">
              <w:t xml:space="preserve"> </w:t>
            </w:r>
            <w:r>
              <w:t>на</w:t>
            </w:r>
            <w:r w:rsidR="00F332D1">
              <w:t xml:space="preserve"> </w:t>
            </w:r>
            <w:r>
              <w:t>території</w:t>
            </w:r>
            <w:r w:rsidR="00F332D1">
              <w:t xml:space="preserve"> </w:t>
            </w:r>
            <w:r>
              <w:rPr>
                <w:spacing w:val="-2"/>
              </w:rPr>
              <w:t>України.</w:t>
            </w:r>
          </w:p>
        </w:tc>
      </w:tr>
      <w:tr w:rsidR="004D0D70" w:rsidTr="004534EE">
        <w:trPr>
          <w:trHeight w:val="791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19"/>
            </w:pPr>
          </w:p>
          <w:p w:rsidR="004D0D70" w:rsidRDefault="000E0C8D">
            <w:pPr>
              <w:pStyle w:val="TableParagraph"/>
              <w:spacing w:before="1"/>
              <w:ind w:left="652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>
              <w:rPr>
                <w:b/>
                <w:i/>
                <w:spacing w:val="-4"/>
              </w:rPr>
              <w:t>Ціна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5" w:line="261" w:lineRule="auto"/>
              <w:ind w:left="110" w:right="4968"/>
            </w:pPr>
            <w:r>
              <w:rPr>
                <w:b/>
              </w:rPr>
              <w:t xml:space="preserve">РДН </w:t>
            </w:r>
            <w:r>
              <w:t xml:space="preserve">– ринок «на добу наперед»; </w:t>
            </w:r>
            <w:r>
              <w:rPr>
                <w:b/>
              </w:rPr>
              <w:t>ВДР</w:t>
            </w:r>
            <w:r>
              <w:t>–</w:t>
            </w:r>
            <w:r w:rsidR="004534EE">
              <w:t xml:space="preserve"> </w:t>
            </w:r>
            <w:r>
              <w:t>внутрішньо</w:t>
            </w:r>
            <w:r w:rsidR="004534EE">
              <w:t xml:space="preserve"> </w:t>
            </w:r>
            <w:r>
              <w:t>добовий</w:t>
            </w:r>
            <w:r w:rsidR="004534EE">
              <w:t xml:space="preserve"> </w:t>
            </w:r>
            <w:r>
              <w:t xml:space="preserve">ринок; </w:t>
            </w:r>
            <w:r>
              <w:rPr>
                <w:b/>
              </w:rPr>
              <w:t xml:space="preserve">БР </w:t>
            </w:r>
            <w:r>
              <w:t>– балансуючий ринок;</w:t>
            </w:r>
          </w:p>
          <w:p w:rsidR="004D0D70" w:rsidRDefault="000E0C8D">
            <w:pPr>
              <w:pStyle w:val="TableParagraph"/>
              <w:spacing w:before="3"/>
              <w:ind w:left="110"/>
            </w:pPr>
            <w:r>
              <w:rPr>
                <w:b/>
              </w:rPr>
              <w:t>ДД</w:t>
            </w:r>
            <w:r>
              <w:t>–</w:t>
            </w:r>
            <w:r w:rsidR="004534EE">
              <w:t xml:space="preserve"> </w:t>
            </w:r>
            <w:r>
              <w:t>двосторонні</w:t>
            </w:r>
            <w:r w:rsidR="00F332D1">
              <w:t xml:space="preserve"> </w:t>
            </w:r>
            <w:r>
              <w:rPr>
                <w:spacing w:val="-2"/>
              </w:rPr>
              <w:t>договори.</w:t>
            </w:r>
          </w:p>
          <w:p w:rsidR="004D0D70" w:rsidRDefault="000E0C8D">
            <w:pPr>
              <w:pStyle w:val="TableParagraph"/>
              <w:spacing w:before="17" w:line="261" w:lineRule="auto"/>
              <w:ind w:left="115" w:right="90" w:hanging="6"/>
              <w:jc w:val="both"/>
              <w:rPr>
                <w:b/>
              </w:rPr>
            </w:pPr>
            <w:r>
              <w:t xml:space="preserve">Попередня оплата розраховується відповідно до заявленого обсягу споживання електричної енергії за прогнозованою ціною поточного розрахункового періоду. </w:t>
            </w:r>
            <w:r>
              <w:rPr>
                <w:b/>
                <w:u w:val="thick"/>
              </w:rPr>
              <w:t>Нарахування попередньої оплати здійснюється за ціною, яка складається з:</w:t>
            </w:r>
          </w:p>
          <w:p w:rsidR="004D0D70" w:rsidRDefault="000E0C8D">
            <w:pPr>
              <w:pStyle w:val="TableParagraph"/>
              <w:spacing w:line="259" w:lineRule="auto"/>
              <w:ind w:left="115" w:right="88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прог</w:t>
            </w:r>
            <w:proofErr w:type="spellEnd"/>
            <w:r>
              <w:rPr>
                <w:position w:val="2"/>
              </w:rPr>
              <w:t xml:space="preserve">- прогнозованої ціни електричної енергії поточного розрахункового періоду з урахуванням коефіцієнту прибутковості Постачальника, </w:t>
            </w: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 xml:space="preserve">пер </w:t>
            </w:r>
            <w:r>
              <w:rPr>
                <w:b/>
                <w:position w:val="2"/>
              </w:rPr>
              <w:t xml:space="preserve">– </w:t>
            </w:r>
            <w:r>
              <w:rPr>
                <w:position w:val="2"/>
              </w:rPr>
              <w:t xml:space="preserve">тарифу на послуги з </w:t>
            </w:r>
            <w:r>
              <w:t xml:space="preserve">передачі електричної енергії, </w:t>
            </w:r>
            <w:proofErr w:type="spellStart"/>
            <w:r>
              <w:t>грн</w:t>
            </w:r>
            <w:proofErr w:type="spellEnd"/>
            <w:r>
              <w:t>/кВт*год.</w:t>
            </w:r>
          </w:p>
          <w:p w:rsidR="004D0D70" w:rsidRPr="004534EE" w:rsidRDefault="000E0C8D" w:rsidP="004534EE">
            <w:pPr>
              <w:pStyle w:val="TableParagraph"/>
              <w:spacing w:line="259" w:lineRule="auto"/>
              <w:ind w:left="115" w:right="101" w:hanging="6"/>
              <w:jc w:val="both"/>
              <w:rPr>
                <w:b/>
              </w:rPr>
            </w:pPr>
            <w:r>
              <w:rPr>
                <w:b/>
                <w:u w:val="thick"/>
              </w:rPr>
              <w:t>Розрахунок обсягу за фактично спожиту електричну енергію визначається</w:t>
            </w:r>
            <w:r w:rsidR="00F332D1"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Постачальником за ціною, яка складається з:</w:t>
            </w:r>
          </w:p>
          <w:p w:rsidR="004D0D70" w:rsidRDefault="000E0C8D">
            <w:pPr>
              <w:pStyle w:val="TableParagraph"/>
              <w:ind w:left="3154"/>
              <w:rPr>
                <w:b/>
              </w:rPr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b/>
                <w:position w:val="2"/>
              </w:rPr>
              <w:t>=Ц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position w:val="2"/>
              </w:rPr>
              <w:t>*П</w:t>
            </w:r>
            <w:r>
              <w:rPr>
                <w:b/>
                <w:sz w:val="14"/>
              </w:rPr>
              <w:t>пост</w:t>
            </w:r>
            <w:r>
              <w:rPr>
                <w:b/>
                <w:position w:val="2"/>
              </w:rPr>
              <w:t>+</w:t>
            </w:r>
            <w:r>
              <w:rPr>
                <w:b/>
                <w:spacing w:val="-4"/>
                <w:position w:val="2"/>
              </w:rPr>
              <w:t>Т</w:t>
            </w:r>
            <w:r>
              <w:rPr>
                <w:b/>
                <w:spacing w:val="-4"/>
                <w:sz w:val="14"/>
              </w:rPr>
              <w:t>пер</w:t>
            </w:r>
            <w:r>
              <w:rPr>
                <w:b/>
                <w:spacing w:val="-4"/>
                <w:position w:val="2"/>
              </w:rPr>
              <w:t>,</w:t>
            </w:r>
          </w:p>
          <w:p w:rsidR="004D0D70" w:rsidRDefault="000E0C8D">
            <w:pPr>
              <w:pStyle w:val="TableParagraph"/>
              <w:spacing w:before="14"/>
              <w:ind w:left="110"/>
            </w:pPr>
            <w:r>
              <w:rPr>
                <w:spacing w:val="-5"/>
              </w:rPr>
              <w:t>де:</w:t>
            </w:r>
          </w:p>
          <w:p w:rsidR="004D0D70" w:rsidRDefault="000E0C8D">
            <w:pPr>
              <w:pStyle w:val="TableParagraph"/>
              <w:spacing w:before="25" w:line="259" w:lineRule="auto"/>
              <w:ind w:left="110" w:right="96"/>
              <w:jc w:val="both"/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position w:val="2"/>
              </w:rPr>
              <w:t xml:space="preserve">- фактична ціна за 1 </w:t>
            </w:r>
            <w:proofErr w:type="spellStart"/>
            <w:r>
              <w:rPr>
                <w:position w:val="2"/>
              </w:rPr>
              <w:t>кВт.год</w:t>
            </w:r>
            <w:proofErr w:type="spellEnd"/>
            <w:r>
              <w:rPr>
                <w:position w:val="2"/>
              </w:rPr>
              <w:t xml:space="preserve">, за якою проводиться нарахування у розрахунковому </w:t>
            </w:r>
            <w:r>
              <w:rPr>
                <w:spacing w:val="-2"/>
              </w:rPr>
              <w:t>періоді;</w:t>
            </w:r>
          </w:p>
          <w:p w:rsidR="004D0D70" w:rsidRDefault="000E0C8D">
            <w:pPr>
              <w:pStyle w:val="TableParagraph"/>
              <w:spacing w:line="259" w:lineRule="auto"/>
              <w:ind w:left="115" w:right="92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position w:val="2"/>
              </w:rPr>
              <w:t xml:space="preserve">- </w:t>
            </w:r>
            <w:r>
              <w:rPr>
                <w:position w:val="2"/>
              </w:rPr>
              <w:t xml:space="preserve">середньозважена ціна закупівлі електричної енергії за </w:t>
            </w:r>
            <w:proofErr w:type="spellStart"/>
            <w:r>
              <w:rPr>
                <w:position w:val="2"/>
              </w:rPr>
              <w:t>ДД</w:t>
            </w:r>
            <w:proofErr w:type="spellEnd"/>
            <w:r>
              <w:rPr>
                <w:position w:val="2"/>
              </w:rPr>
              <w:t xml:space="preserve"> та на організованих </w:t>
            </w:r>
            <w:r>
              <w:t>сегментах ринку (РДН, ВДР, БР) та, яка включає ціну додаткових послуг, пов’язаних з постачання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енергії(регульовані</w:t>
            </w:r>
            <w:r w:rsidR="004534EE">
              <w:t xml:space="preserve"> </w:t>
            </w:r>
            <w:r>
              <w:t>та фіксовані платежі, інші</w:t>
            </w:r>
            <w:r w:rsidR="004534EE">
              <w:t xml:space="preserve"> </w:t>
            </w:r>
            <w:r>
              <w:t>платежі</w:t>
            </w:r>
            <w:r w:rsidR="004534EE">
              <w:t xml:space="preserve"> </w:t>
            </w:r>
            <w:r>
              <w:t>тощо,- для забезпечення діяльності</w:t>
            </w:r>
            <w:r w:rsidR="00F332D1">
              <w:t xml:space="preserve"> </w:t>
            </w:r>
            <w:r>
              <w:t xml:space="preserve">Постачальника за </w:t>
            </w:r>
            <w:proofErr w:type="spellStart"/>
            <w:r>
              <w:t>ДД</w:t>
            </w:r>
            <w:proofErr w:type="spellEnd"/>
            <w:r>
              <w:t xml:space="preserve"> та на організованих сегментах ринку </w:t>
            </w:r>
            <w:r>
              <w:rPr>
                <w:spacing w:val="-2"/>
              </w:rPr>
              <w:t>(РДН,ВДР,БР));</w:t>
            </w:r>
          </w:p>
          <w:p w:rsidR="00F332D1" w:rsidRDefault="000E0C8D">
            <w:pPr>
              <w:pStyle w:val="TableParagraph"/>
              <w:spacing w:line="255" w:lineRule="exact"/>
              <w:ind w:left="110"/>
              <w:rPr>
                <w:position w:val="2"/>
              </w:rPr>
            </w:pPr>
            <w:r>
              <w:rPr>
                <w:b/>
                <w:position w:val="2"/>
              </w:rPr>
              <w:t>П</w:t>
            </w:r>
            <w:r>
              <w:rPr>
                <w:b/>
                <w:sz w:val="14"/>
              </w:rPr>
              <w:t>пост</w:t>
            </w:r>
            <w:r>
              <w:rPr>
                <w:position w:val="2"/>
              </w:rPr>
              <w:t>–</w:t>
            </w:r>
            <w:r w:rsidR="004534EE">
              <w:rPr>
                <w:position w:val="2"/>
              </w:rPr>
              <w:t xml:space="preserve"> </w:t>
            </w:r>
            <w:r w:rsidR="00F332D1">
              <w:rPr>
                <w:position w:val="2"/>
              </w:rPr>
              <w:t xml:space="preserve">коефіцієнт прибутковості </w:t>
            </w:r>
            <w:r>
              <w:rPr>
                <w:position w:val="2"/>
              </w:rPr>
              <w:t>Постачальника.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Для</w:t>
            </w:r>
            <w:r w:rsidR="00F332D1">
              <w:rPr>
                <w:position w:val="2"/>
              </w:rPr>
              <w:t xml:space="preserve">  </w:t>
            </w:r>
            <w:r>
              <w:rPr>
                <w:position w:val="2"/>
              </w:rPr>
              <w:t>цієї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Комерційної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пропозиції</w:t>
            </w:r>
          </w:p>
          <w:p w:rsidR="004D0D70" w:rsidRPr="004534EE" w:rsidRDefault="000E0C8D" w:rsidP="004534EE">
            <w:pPr>
              <w:pStyle w:val="TableParagraph"/>
              <w:spacing w:line="255" w:lineRule="exact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position w:val="2"/>
              </w:rPr>
              <w:t>П</w:t>
            </w:r>
            <w:r>
              <w:rPr>
                <w:b/>
                <w:spacing w:val="-2"/>
                <w:sz w:val="14"/>
              </w:rPr>
              <w:t>пост</w:t>
            </w:r>
            <w:r w:rsidR="004534EE">
              <w:rPr>
                <w:b/>
                <w:sz w:val="14"/>
              </w:rPr>
              <w:t xml:space="preserve"> </w:t>
            </w:r>
            <w:r w:rsidR="00F332D1">
              <w:t>С</w:t>
            </w:r>
            <w:r>
              <w:t>тановить</w:t>
            </w:r>
            <w:r w:rsidR="00F332D1">
              <w:t xml:space="preserve"> </w:t>
            </w:r>
            <w:r>
              <w:rPr>
                <w:b/>
                <w:spacing w:val="-2"/>
              </w:rPr>
              <w:t>1,0</w:t>
            </w:r>
            <w:r w:rsidR="0043391D">
              <w:rPr>
                <w:b/>
                <w:spacing w:val="-2"/>
              </w:rPr>
              <w:t>3-1,05</w:t>
            </w:r>
            <w:r>
              <w:rPr>
                <w:spacing w:val="-2"/>
              </w:rPr>
              <w:t>;</w:t>
            </w:r>
          </w:p>
          <w:p w:rsidR="004D0D70" w:rsidRDefault="000E0C8D">
            <w:pPr>
              <w:pStyle w:val="TableParagraph"/>
              <w:spacing w:before="24" w:line="252" w:lineRule="auto"/>
              <w:ind w:left="110"/>
            </w:pP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>пер</w:t>
            </w:r>
            <w:r>
              <w:rPr>
                <w:position w:val="2"/>
              </w:rPr>
              <w:t>-</w:t>
            </w:r>
            <w:r w:rsidR="004534EE">
              <w:rPr>
                <w:position w:val="2"/>
              </w:rPr>
              <w:t xml:space="preserve"> </w:t>
            </w:r>
            <w:r>
              <w:rPr>
                <w:position w:val="2"/>
              </w:rPr>
              <w:t>тариф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на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послугу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з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передачі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електричної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енергії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(затверджується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постановою</w:t>
            </w:r>
            <w:r w:rsidR="00F332D1">
              <w:rPr>
                <w:position w:val="2"/>
              </w:rPr>
              <w:t xml:space="preserve"> </w:t>
            </w:r>
            <w:r>
              <w:rPr>
                <w:spacing w:val="-2"/>
              </w:rPr>
              <w:t>НКРЕКП).</w:t>
            </w:r>
          </w:p>
          <w:p w:rsidR="004D0D70" w:rsidRDefault="000E0C8D">
            <w:pPr>
              <w:pStyle w:val="TableParagraph"/>
              <w:spacing w:before="9" w:line="273" w:lineRule="auto"/>
              <w:ind w:left="110" w:right="137"/>
              <w:jc w:val="both"/>
            </w:pPr>
            <w:r>
              <w:t>Ціна може змінюватися у зв’язку із змінами складових витрат, які впливають на її формування (згідно з нормативними документами).</w:t>
            </w:r>
          </w:p>
          <w:p w:rsidR="004D0D70" w:rsidRDefault="000E0C8D">
            <w:pPr>
              <w:pStyle w:val="TableParagraph"/>
              <w:spacing w:before="9" w:line="264" w:lineRule="auto"/>
              <w:ind w:left="110" w:right="116"/>
              <w:jc w:val="both"/>
            </w:pPr>
            <w:r>
              <w:t>Сторони узгодили, що Постачальник має право змінити ціну або здійснити</w:t>
            </w:r>
            <w:r w:rsidR="004534EE">
              <w:t xml:space="preserve"> </w:t>
            </w:r>
            <w:r>
              <w:t>коригування</w:t>
            </w:r>
            <w:r w:rsidR="004534EE">
              <w:t xml:space="preserve"> </w:t>
            </w:r>
            <w:r>
              <w:t>ціни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</w:t>
            </w:r>
            <w:r w:rsidR="004534EE">
              <w:t xml:space="preserve"> </w:t>
            </w:r>
            <w:r>
              <w:t>для</w:t>
            </w:r>
            <w:r w:rsidR="004534EE">
              <w:t xml:space="preserve"> </w:t>
            </w:r>
            <w:r>
              <w:t>здійснення</w:t>
            </w:r>
            <w:r w:rsidR="004534EE">
              <w:t xml:space="preserve"> </w:t>
            </w:r>
            <w:r>
              <w:t>остаточних</w:t>
            </w:r>
            <w:r w:rsidR="004534EE">
              <w:t xml:space="preserve"> </w:t>
            </w:r>
            <w:r>
              <w:t>розрахунків</w:t>
            </w:r>
            <w:r w:rsidR="004534EE">
              <w:t xml:space="preserve"> </w:t>
            </w:r>
            <w:r>
              <w:rPr>
                <w:spacing w:val="-5"/>
              </w:rPr>
              <w:t>(за</w:t>
            </w:r>
          </w:p>
        </w:tc>
      </w:tr>
    </w:tbl>
    <w:p w:rsidR="004D0D70" w:rsidRDefault="004D0D70">
      <w:pPr>
        <w:spacing w:line="264" w:lineRule="auto"/>
        <w:jc w:val="both"/>
        <w:sectPr w:rsidR="004D0D70">
          <w:type w:val="continuous"/>
          <w:pgSz w:w="11910" w:h="16840"/>
          <w:pgMar w:top="7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32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76" w:lineRule="auto"/>
              <w:ind w:left="110" w:right="92"/>
              <w:jc w:val="both"/>
            </w:pPr>
            <w:r>
              <w:t>попередній розрахунковий період) у разі, якщо відбулося відхилення</w:t>
            </w:r>
            <w:r w:rsidR="004534EE">
              <w:t xml:space="preserve"> </w:t>
            </w:r>
            <w:r>
              <w:t xml:space="preserve">ціни, розрахованої згідно з оперативними даними Оператора ринку, Адміністратора розрахунків та учасниками </w:t>
            </w:r>
            <w:proofErr w:type="spellStart"/>
            <w:r>
              <w:t>ДД</w:t>
            </w:r>
            <w:proofErr w:type="spellEnd"/>
            <w:r>
              <w:t xml:space="preserve"> (за наявності </w:t>
            </w:r>
            <w:proofErr w:type="spellStart"/>
            <w:r>
              <w:t>ДД</w:t>
            </w:r>
            <w:proofErr w:type="spellEnd"/>
            <w:r>
              <w:t>), до уточнених фактичних значень.</w:t>
            </w:r>
          </w:p>
          <w:p w:rsidR="004D0D70" w:rsidRDefault="000E0C8D">
            <w:pPr>
              <w:pStyle w:val="TableParagraph"/>
              <w:spacing w:line="276" w:lineRule="auto"/>
              <w:ind w:left="110" w:right="90"/>
              <w:jc w:val="both"/>
            </w:pPr>
            <w:r>
              <w:t xml:space="preserve">Фактична ціна, яка склалася на ринку електричної енергії і за якою будуть проведені розрахунки, буде зазначена у фактичному рахунку після складання актів </w:t>
            </w:r>
            <w:proofErr w:type="spellStart"/>
            <w:r>
              <w:t>купівлі-</w:t>
            </w:r>
            <w:proofErr w:type="spellEnd"/>
            <w:r>
              <w:t xml:space="preserve"> продажу електричної енергії Постачальника з Оператором ринку, учасниками </w:t>
            </w:r>
            <w:proofErr w:type="spellStart"/>
            <w:r>
              <w:t>ДД</w:t>
            </w:r>
            <w:proofErr w:type="spellEnd"/>
            <w:r>
              <w:t xml:space="preserve"> (за наявності </w:t>
            </w:r>
            <w:proofErr w:type="spellStart"/>
            <w:r>
              <w:t>ДД</w:t>
            </w:r>
            <w:proofErr w:type="spellEnd"/>
            <w:r>
              <w:t xml:space="preserve">) та актів купівлі-продажу електричної енергії для врегулювання небалансів Адміністратором розрахунків. Уточнена фактична ціна щомісяця оприлюднюється в Особистому кабінеті на офіційному </w:t>
            </w:r>
            <w:proofErr w:type="spellStart"/>
            <w:r>
              <w:t>веб-сайті</w:t>
            </w:r>
            <w:proofErr w:type="spellEnd"/>
            <w:r>
              <w:t xml:space="preserve"> Постачальника.</w:t>
            </w:r>
          </w:p>
          <w:p w:rsidR="004D0D70" w:rsidRDefault="000E0C8D">
            <w:pPr>
              <w:pStyle w:val="TableParagraph"/>
              <w:spacing w:line="268" w:lineRule="auto"/>
              <w:ind w:left="110" w:right="127"/>
              <w:jc w:val="both"/>
            </w:pPr>
            <w:r>
              <w:t xml:space="preserve">Сума податку на додану вартість (ПДВ) нараховується згідно з Податковим кодексом </w:t>
            </w:r>
            <w:r>
              <w:rPr>
                <w:spacing w:val="-2"/>
              </w:rPr>
              <w:t>України.</w:t>
            </w:r>
          </w:p>
        </w:tc>
      </w:tr>
      <w:tr w:rsidR="004D0D70">
        <w:trPr>
          <w:trHeight w:val="75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line="237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3.Оплата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 послугу з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розподілу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11"/>
              <w:ind w:left="110"/>
            </w:pPr>
            <w:r>
              <w:t>Споживач</w:t>
            </w:r>
            <w:r w:rsidR="00F332D1">
              <w:t xml:space="preserve"> </w:t>
            </w:r>
            <w:r>
              <w:t>сплачує за послугу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розподілу</w:t>
            </w:r>
            <w:r w:rsidR="00F332D1">
              <w:t xml:space="preserve"> </w:t>
            </w:r>
            <w:r>
              <w:t>електричної енергії</w:t>
            </w:r>
            <w:r w:rsidR="00F332D1">
              <w:t xml:space="preserve"> </w:t>
            </w:r>
            <w:r>
              <w:t>самостійно</w:t>
            </w:r>
            <w:r w:rsidR="00F332D1">
              <w:t xml:space="preserve"> </w:t>
            </w:r>
            <w:r>
              <w:t>відповідно</w:t>
            </w:r>
            <w:r w:rsidR="00F332D1">
              <w:t xml:space="preserve"> </w:t>
            </w:r>
            <w:r>
              <w:t>до укладеного договору з оператором системи розподілу.</w:t>
            </w:r>
          </w:p>
        </w:tc>
      </w:tr>
      <w:tr w:rsidR="004D0D70">
        <w:trPr>
          <w:trHeight w:val="585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36" w:line="237" w:lineRule="auto"/>
              <w:ind w:left="124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 Оплата за послугу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передачі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49"/>
              <w:ind w:left="110"/>
            </w:pPr>
            <w:r>
              <w:t>Споживач</w:t>
            </w:r>
            <w:r w:rsidR="0043391D">
              <w:t xml:space="preserve"> </w:t>
            </w:r>
            <w:r>
              <w:t>сплачує</w:t>
            </w:r>
            <w:r w:rsidR="0043391D">
              <w:t xml:space="preserve"> </w:t>
            </w:r>
            <w:r>
              <w:t>за</w:t>
            </w:r>
            <w:r w:rsidR="0043391D">
              <w:t xml:space="preserve"> </w:t>
            </w:r>
            <w:r>
              <w:t>послугу</w:t>
            </w:r>
            <w:r w:rsidR="0043391D">
              <w:t xml:space="preserve"> </w:t>
            </w:r>
            <w:r>
              <w:t>з</w:t>
            </w:r>
            <w:r w:rsidR="0043391D">
              <w:t xml:space="preserve"> </w:t>
            </w:r>
            <w:r>
              <w:t>передачі</w:t>
            </w:r>
            <w:r w:rsidR="0043391D">
              <w:t xml:space="preserve"> </w:t>
            </w:r>
            <w:r>
              <w:t>електричної</w:t>
            </w:r>
            <w:r w:rsidR="0043391D">
              <w:t xml:space="preserve"> </w:t>
            </w:r>
            <w:r>
              <w:t>енергії</w:t>
            </w:r>
            <w:r w:rsidR="0043391D">
              <w:t xml:space="preserve"> </w:t>
            </w:r>
            <w:r>
              <w:t>через</w:t>
            </w:r>
            <w:r w:rsidR="0043391D">
              <w:t xml:space="preserve"> </w:t>
            </w:r>
            <w:r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1012"/>
        </w:trPr>
        <w:tc>
          <w:tcPr>
            <w:tcW w:w="1978" w:type="dxa"/>
          </w:tcPr>
          <w:p w:rsidR="004D0D70" w:rsidRDefault="000E0C8D" w:rsidP="000446BB">
            <w:pPr>
              <w:pStyle w:val="TableParagraph"/>
              <w:spacing w:before="1" w:line="242" w:lineRule="auto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5.Можливість </w:t>
            </w:r>
            <w:r>
              <w:rPr>
                <w:b/>
                <w:i/>
                <w:spacing w:val="-2"/>
              </w:rPr>
              <w:t>застосування</w:t>
            </w:r>
          </w:p>
          <w:p w:rsidR="004D0D70" w:rsidRDefault="000E0C8D" w:rsidP="000446BB">
            <w:pPr>
              <w:pStyle w:val="TableParagraph"/>
              <w:spacing w:before="1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тарифних коефіцієнтів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3"/>
            </w:pPr>
          </w:p>
          <w:p w:rsidR="004D0D70" w:rsidRDefault="000E0C8D">
            <w:pPr>
              <w:pStyle w:val="TableParagraph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застосовуються.</w:t>
            </w:r>
          </w:p>
        </w:tc>
      </w:tr>
      <w:tr w:rsidR="004D0D70">
        <w:trPr>
          <w:trHeight w:val="729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6.Розрахунковий </w:t>
            </w:r>
            <w:r>
              <w:rPr>
                <w:b/>
                <w:i/>
                <w:spacing w:val="-2"/>
              </w:rPr>
              <w:t>період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97"/>
              <w:ind w:left="110"/>
            </w:pPr>
            <w:r>
              <w:t>Розрахунковим періодом є календарний місяць, який починається з 01 числа місяця та закінчується в останній день місяця.</w:t>
            </w:r>
          </w:p>
        </w:tc>
      </w:tr>
      <w:tr w:rsidR="004D0D70">
        <w:trPr>
          <w:trHeight w:val="353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7.Заявлені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обсяги </w:t>
            </w:r>
            <w:r>
              <w:rPr>
                <w:b/>
                <w:i/>
                <w:spacing w:val="-2"/>
              </w:rPr>
              <w:t>споживання електричної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енергії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4"/>
              <w:jc w:val="both"/>
            </w:pPr>
            <w:r>
              <w:t xml:space="preserve">Споживач до 01 вересня поточного року надає в письмовій формі відомості про обсяги очікуваного споживання електричної енергії в наступному році з помісячним </w:t>
            </w:r>
            <w:r>
              <w:rPr>
                <w:spacing w:val="-2"/>
              </w:rPr>
              <w:t>розподілом.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У разі ненадання Споживачем зазначених відомостей про обсяги очікуваного споживання електричної енергії в наступному році Постачальник визначає заявлений обсяг електроенергії за фактичними обсягами споживання у відповідних періодах поточного року, що минули.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Споживач надає Постачальнику інформацію про скориговане споживання електричної енергії на наступний розрахунковий місяць (прогнозний графік) до 25 числа (включно) місяця, що передує розрахунковому. Коригування у бік збільшення здійснюється за умови попередньої оплати додатково заявлених обсягів.</w:t>
            </w:r>
          </w:p>
          <w:p w:rsidR="004D0D70" w:rsidRDefault="000E0C8D">
            <w:pPr>
              <w:pStyle w:val="TableParagraph"/>
              <w:spacing w:line="237" w:lineRule="auto"/>
              <w:ind w:left="110" w:right="96"/>
              <w:jc w:val="both"/>
            </w:pPr>
            <w:r>
              <w:t>За підсумками розрахункового періоду</w:t>
            </w:r>
            <w:r w:rsidR="00F332D1">
              <w:t xml:space="preserve"> </w:t>
            </w:r>
            <w:r>
              <w:t>до</w:t>
            </w:r>
            <w:r w:rsidR="00F332D1">
              <w:t xml:space="preserve"> </w:t>
            </w:r>
            <w:r>
              <w:t>Споживача може</w:t>
            </w:r>
            <w:r w:rsidR="00F332D1">
              <w:t xml:space="preserve"> </w:t>
            </w:r>
            <w:r>
              <w:t>бути застосований штраф у розмірівартостівеличиниобсягу,щоперевищує5%відхилення</w:t>
            </w:r>
            <w:r>
              <w:rPr>
                <w:spacing w:val="-2"/>
              </w:rPr>
              <w:t>прогнозованого</w:t>
            </w:r>
          </w:p>
          <w:p w:rsidR="004D0D70" w:rsidRDefault="000E0C8D">
            <w:pPr>
              <w:pStyle w:val="TableParagraph"/>
              <w:spacing w:before="1" w:line="233" w:lineRule="exact"/>
              <w:ind w:left="110"/>
              <w:jc w:val="both"/>
            </w:pPr>
            <w:r>
              <w:t>(заявленого)обсягу</w:t>
            </w:r>
            <w:r w:rsidR="000446BB">
              <w:t xml:space="preserve"> </w:t>
            </w:r>
            <w:r>
              <w:t>споживання</w:t>
            </w:r>
            <w:r w:rsidR="000446BB">
              <w:t xml:space="preserve"> </w:t>
            </w:r>
            <w:r>
              <w:t>електричної</w:t>
            </w:r>
            <w:r w:rsidR="000446BB">
              <w:t xml:space="preserve"> </w:t>
            </w:r>
            <w:r>
              <w:t>енергії</w:t>
            </w:r>
            <w:r w:rsidR="000446BB">
              <w:t xml:space="preserve"> </w:t>
            </w:r>
            <w:r>
              <w:t>від</w:t>
            </w:r>
            <w:r w:rsidR="000446BB">
              <w:t xml:space="preserve"> </w:t>
            </w:r>
            <w:r>
              <w:t>фактичного</w:t>
            </w:r>
            <w:r w:rsidR="000446BB">
              <w:t xml:space="preserve"> </w:t>
            </w:r>
            <w:r>
              <w:rPr>
                <w:spacing w:val="-2"/>
              </w:rPr>
              <w:t>споживання.</w:t>
            </w:r>
          </w:p>
        </w:tc>
      </w:tr>
      <w:tr w:rsidR="004D0D70">
        <w:trPr>
          <w:trHeight w:val="763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8.Можливість надання пільг,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субсидій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246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надаються.</w:t>
            </w:r>
          </w:p>
        </w:tc>
      </w:tr>
      <w:tr w:rsidR="004D0D70" w:rsidTr="00F332D1">
        <w:trPr>
          <w:trHeight w:val="415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70"/>
            </w:pPr>
          </w:p>
          <w:p w:rsidR="004D0D70" w:rsidRDefault="000E0C8D" w:rsidP="004534EE">
            <w:pPr>
              <w:pStyle w:val="TableParagraph"/>
              <w:spacing w:line="242" w:lineRule="auto"/>
              <w:ind w:right="1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Термін та порядок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надання рахунку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4"/>
              </w:rPr>
              <w:t>акту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100"/>
              <w:jc w:val="both"/>
            </w:pPr>
            <w:r>
              <w:t xml:space="preserve">Рахунок за фактично спожиту електричну енергію надається Споживачу не пізніше 10 календарного дня місяця, наступного за розрахунковим одним із таких способів </w:t>
            </w:r>
            <w:r>
              <w:rPr>
                <w:i/>
              </w:rPr>
              <w:t>(необхідно обрати)</w:t>
            </w:r>
            <w:r>
              <w:t>: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20" w:lineRule="exact"/>
              <w:ind w:left="335" w:hanging="225"/>
            </w:pPr>
            <w:r>
              <w:t>електронною</w:t>
            </w:r>
            <w:r w:rsidR="00F332D1">
              <w:t xml:space="preserve"> </w:t>
            </w:r>
            <w:r>
              <w:t>поштою,вказаною</w:t>
            </w:r>
            <w:r w:rsidR="00F332D1">
              <w:t xml:space="preserve"> </w:t>
            </w:r>
            <w:r>
              <w:t>в</w:t>
            </w:r>
            <w:r w:rsidR="00F332D1">
              <w:t xml:space="preserve"> </w:t>
            </w:r>
            <w:r>
              <w:t>заяві-</w:t>
            </w:r>
            <w:r>
              <w:rPr>
                <w:spacing w:val="-2"/>
              </w:rPr>
              <w:t>приєднання;</w:t>
            </w:r>
          </w:p>
          <w:p w:rsidR="004D0D70" w:rsidRDefault="00F332D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" w:line="322" w:lineRule="exact"/>
              <w:ind w:left="350" w:hanging="240"/>
            </w:pPr>
            <w:r>
              <w:t xml:space="preserve">безпосередньо за адресою </w:t>
            </w:r>
            <w:r w:rsidR="000E0C8D">
              <w:rPr>
                <w:spacing w:val="-2"/>
              </w:rPr>
              <w:t>Постачальника;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22" w:lineRule="exact"/>
              <w:ind w:left="350" w:hanging="240"/>
            </w:pPr>
            <w:r>
              <w:t>поштовим</w:t>
            </w:r>
            <w:r w:rsidR="00F332D1">
              <w:t xml:space="preserve"> </w:t>
            </w:r>
            <w:r>
              <w:rPr>
                <w:spacing w:val="-2"/>
              </w:rPr>
              <w:t>зв’язком;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19" w:lineRule="exact"/>
              <w:ind w:left="350" w:hanging="240"/>
            </w:pPr>
            <w:r>
              <w:t>через</w:t>
            </w:r>
            <w:r w:rsidR="00F332D1">
              <w:t xml:space="preserve"> </w:t>
            </w:r>
            <w:r>
              <w:t>систему</w:t>
            </w:r>
            <w:r w:rsidR="00F332D1">
              <w:t xml:space="preserve"> </w:t>
            </w:r>
            <w:r>
              <w:t>електронного</w:t>
            </w:r>
            <w:r w:rsidR="00F332D1">
              <w:t xml:space="preserve"> </w:t>
            </w:r>
            <w:r>
              <w:t>документообігу</w:t>
            </w:r>
            <w:r w:rsidR="00F332D1">
              <w:t xml:space="preserve"> </w:t>
            </w:r>
            <w:r>
              <w:rPr>
                <w:spacing w:val="-2"/>
              </w:rPr>
              <w:t>М.Е.Doc;</w:t>
            </w:r>
          </w:p>
          <w:p w:rsidR="004D0D70" w:rsidRDefault="000E0C8D">
            <w:pPr>
              <w:pStyle w:val="TableParagraph"/>
              <w:spacing w:line="242" w:lineRule="auto"/>
              <w:ind w:left="110" w:right="92"/>
              <w:jc w:val="both"/>
              <w:rPr>
                <w:i/>
              </w:rPr>
            </w:pPr>
            <w:r>
              <w:rPr>
                <w:i/>
              </w:rPr>
              <w:t xml:space="preserve">У разі </w:t>
            </w:r>
            <w:proofErr w:type="spellStart"/>
            <w:r>
              <w:rPr>
                <w:i/>
              </w:rPr>
              <w:t>необрання</w:t>
            </w:r>
            <w:proofErr w:type="spellEnd"/>
            <w:r>
              <w:rPr>
                <w:i/>
              </w:rPr>
              <w:t xml:space="preserve"> Споживачем жодного з пропонованих варіантів, Постачальник залишає за собою право вручити рахунок в обраний самостійно спосіб. В такому випадку рахунок вважається врученим належним чином.</w:t>
            </w:r>
          </w:p>
          <w:p w:rsidR="004D0D70" w:rsidRDefault="000E0C8D">
            <w:pPr>
              <w:pStyle w:val="TableParagraph"/>
              <w:ind w:left="110" w:right="92"/>
              <w:jc w:val="both"/>
            </w:pPr>
            <w:r>
              <w:t>Споживач зобов’язаний отримати від Постачальника рахунок на оплату вартості електричної енергії в обраний спосіб.</w:t>
            </w:r>
          </w:p>
          <w:p w:rsidR="004D0D70" w:rsidRDefault="000E0C8D">
            <w:pPr>
              <w:pStyle w:val="TableParagraph"/>
              <w:spacing w:line="246" w:lineRule="exact"/>
              <w:ind w:left="110"/>
              <w:jc w:val="both"/>
            </w:pPr>
            <w:r>
              <w:t>У</w:t>
            </w:r>
            <w:r w:rsidR="00F332D1">
              <w:t xml:space="preserve"> </w:t>
            </w:r>
            <w:r>
              <w:t>разі</w:t>
            </w:r>
            <w:r w:rsidR="00F332D1">
              <w:t xml:space="preserve"> </w:t>
            </w:r>
            <w:r>
              <w:t>якщо</w:t>
            </w:r>
            <w:r w:rsidR="00F332D1">
              <w:t xml:space="preserve"> </w:t>
            </w:r>
            <w:r>
              <w:t>Споживач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тих</w:t>
            </w:r>
            <w:r w:rsidR="00F332D1">
              <w:t xml:space="preserve"> </w:t>
            </w:r>
            <w:r>
              <w:t>чи</w:t>
            </w:r>
            <w:r w:rsidR="00F332D1">
              <w:t xml:space="preserve"> </w:t>
            </w:r>
            <w:r>
              <w:t>інших</w:t>
            </w:r>
            <w:r w:rsidR="00F332D1">
              <w:t xml:space="preserve"> </w:t>
            </w:r>
            <w:r>
              <w:t>причин</w:t>
            </w:r>
            <w:r w:rsidR="00F332D1">
              <w:t xml:space="preserve"> </w:t>
            </w:r>
            <w:r>
              <w:t>не</w:t>
            </w:r>
            <w:r w:rsidR="00F332D1">
              <w:t xml:space="preserve"> </w:t>
            </w:r>
            <w:r>
              <w:t>отримав</w:t>
            </w:r>
            <w:r w:rsidR="00F332D1">
              <w:t xml:space="preserve"> </w:t>
            </w:r>
            <w:r>
              <w:t>рахунок</w:t>
            </w:r>
            <w:r w:rsidR="00F332D1">
              <w:t xml:space="preserve"> </w:t>
            </w:r>
            <w:r>
              <w:t>обраним</w:t>
            </w:r>
            <w:r w:rsidR="00F332D1">
              <w:t xml:space="preserve"> </w:t>
            </w:r>
            <w:r>
              <w:rPr>
                <w:spacing w:val="-2"/>
              </w:rPr>
              <w:t>способом,</w:t>
            </w:r>
          </w:p>
        </w:tc>
      </w:tr>
    </w:tbl>
    <w:p w:rsidR="004D0D70" w:rsidRDefault="004D0D70">
      <w:pPr>
        <w:spacing w:line="246" w:lineRule="exact"/>
        <w:jc w:val="both"/>
        <w:sectPr w:rsidR="004D0D70">
          <w:type w:val="continuous"/>
          <w:pgSz w:w="11910" w:h="16840"/>
          <w:pgMar w:top="800" w:right="4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683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 w:rsidP="00F332D1">
            <w:pPr>
              <w:pStyle w:val="TableParagraph"/>
              <w:ind w:right="96"/>
              <w:jc w:val="both"/>
            </w:pPr>
            <w:r>
              <w:t>Споживач</w:t>
            </w:r>
            <w:r w:rsidR="00F332D1">
              <w:t xml:space="preserve"> </w:t>
            </w:r>
            <w:r>
              <w:t>здійснює оплату</w:t>
            </w:r>
            <w:r w:rsidR="00F332D1">
              <w:t xml:space="preserve"> </w:t>
            </w:r>
            <w:r>
              <w:t>за</w:t>
            </w:r>
            <w:r w:rsidR="00F332D1">
              <w:t xml:space="preserve"> </w:t>
            </w:r>
            <w:r>
              <w:t>фактично</w:t>
            </w:r>
            <w:r w:rsidR="00F332D1">
              <w:t xml:space="preserve"> </w:t>
            </w:r>
            <w:r>
              <w:t>спожиту</w:t>
            </w:r>
            <w:r w:rsidR="00F332D1">
              <w:t xml:space="preserve"> </w:t>
            </w:r>
            <w:r>
              <w:t>електричну</w:t>
            </w:r>
            <w:r w:rsidR="00F332D1">
              <w:t xml:space="preserve"> </w:t>
            </w:r>
            <w:r>
              <w:t>енергію</w:t>
            </w:r>
            <w:r w:rsidR="00F332D1">
              <w:t xml:space="preserve"> </w:t>
            </w:r>
            <w:r>
              <w:t>за рахунком, який самостійно формує в особистому кабінеті не пізніше 10 календарного дня місяця, наступного за розрахунковим. Відповідний рахунок вважається таким, що отриманий Споживачем 10 календарного дня місяця, наступного за розрахунковим.</w:t>
            </w:r>
          </w:p>
          <w:p w:rsidR="004D0D70" w:rsidRDefault="000E0C8D">
            <w:pPr>
              <w:pStyle w:val="TableParagraph"/>
              <w:ind w:left="110" w:right="91"/>
              <w:jc w:val="both"/>
            </w:pPr>
            <w:r>
              <w:t>У разі невжиття Споживачем дій щодо отримання рахунку за фактично спожиту електричну енергію від Постачальника, такий рахунок вважається отриманим ним належним чином 10 календарного дня місяця, наступного за розрахунковим, а Споживач вважається ознайомленим з таким рахунком.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>Споживач самостійно не пізніше 10 календарного дня місяця, наступного за розрахунковим,отримує</w:t>
            </w:r>
            <w:r w:rsidR="00F332D1">
              <w:t xml:space="preserve"> </w:t>
            </w:r>
            <w:r>
              <w:t>акт прийняття-передавання</w:t>
            </w:r>
            <w:r w:rsidR="00F332D1">
              <w:t xml:space="preserve"> </w:t>
            </w:r>
            <w:r>
              <w:t>товарної</w:t>
            </w:r>
            <w:r w:rsidR="00F332D1">
              <w:t xml:space="preserve"> </w:t>
            </w:r>
            <w:r>
              <w:t>продукції</w:t>
            </w:r>
            <w:r w:rsidR="00F332D1">
              <w:t xml:space="preserve"> </w:t>
            </w:r>
            <w:r>
              <w:t>(далі</w:t>
            </w:r>
            <w:r w:rsidR="003F3BAC">
              <w:t xml:space="preserve"> </w:t>
            </w:r>
            <w:r>
              <w:t>— Акт)за розрахунковий період</w:t>
            </w:r>
            <w:r w:rsidR="00F332D1">
              <w:t xml:space="preserve"> безпосередньо</w:t>
            </w:r>
            <w:r w:rsidR="003F3BAC">
              <w:t xml:space="preserve"> </w:t>
            </w:r>
            <w:r w:rsidR="00F332D1">
              <w:t xml:space="preserve">в </w:t>
            </w:r>
            <w:proofErr w:type="spellStart"/>
            <w:r w:rsidR="00F332D1">
              <w:t>в</w:t>
            </w:r>
            <w:proofErr w:type="spellEnd"/>
            <w:r w:rsidR="003F3BAC">
              <w:t xml:space="preserve"> </w:t>
            </w:r>
            <w:r>
              <w:t>Постачальника</w:t>
            </w:r>
            <w:r w:rsidR="00F332D1">
              <w:t xml:space="preserve"> </w:t>
            </w:r>
            <w:r>
              <w:t>або</w:t>
            </w:r>
            <w:r w:rsidR="00F332D1">
              <w:t xml:space="preserve"> </w:t>
            </w:r>
            <w:r>
              <w:t xml:space="preserve">в інший спосіб за допомогою </w:t>
            </w:r>
            <w:proofErr w:type="spellStart"/>
            <w:r>
              <w:t>Інтернет-сервісів</w:t>
            </w:r>
            <w:proofErr w:type="spellEnd"/>
            <w:r>
              <w:t xml:space="preserve"> (M.E.Doc тощо).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може отримати акт та інші документи в паперовому вигляді, звернувшись </w:t>
            </w:r>
            <w:r w:rsidR="003F3BAC">
              <w:t xml:space="preserve">до </w:t>
            </w:r>
            <w:r>
              <w:t>Постачальника.</w:t>
            </w:r>
          </w:p>
          <w:p w:rsidR="004D0D70" w:rsidRDefault="000E0C8D">
            <w:pPr>
              <w:pStyle w:val="TableParagraph"/>
              <w:ind w:left="110" w:right="101"/>
              <w:jc w:val="both"/>
            </w:pPr>
            <w:r>
              <w:t>Після отримання</w:t>
            </w:r>
            <w:r w:rsidR="003F3BAC">
              <w:t xml:space="preserve"> </w:t>
            </w:r>
            <w:r>
              <w:t>акта Споживач зобов’язаний</w:t>
            </w:r>
            <w:r w:rsidR="003F3BAC">
              <w:t xml:space="preserve"> </w:t>
            </w:r>
            <w:r>
              <w:t>впродовж 5 робочих днів підписати</w:t>
            </w:r>
            <w:r w:rsidR="003F3BAC">
              <w:t xml:space="preserve"> </w:t>
            </w:r>
            <w:r>
              <w:t>його та повернути Постачальнику</w:t>
            </w:r>
            <w:r w:rsidR="003F3BAC">
              <w:t xml:space="preserve"> </w:t>
            </w:r>
            <w:r>
              <w:t>або надати заперечення щодо нього в строк передбачений для підписання.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 xml:space="preserve">Якщо Споживач не вживатиме дій для отримання акта до 10 календарного дня місяця, наступного за розрахунковим, або </w:t>
            </w:r>
            <w:r w:rsidR="003F3BAC">
              <w:t xml:space="preserve">не поверне </w:t>
            </w:r>
            <w:r>
              <w:t>Постачальнику отриманий та підписаний з боку Споживача акт або</w:t>
            </w:r>
            <w:r w:rsidR="003F3BAC">
              <w:t xml:space="preserve"> </w:t>
            </w:r>
            <w:r>
              <w:t>не надасть заперечення щодо нього протягом 5 робочих днів</w:t>
            </w:r>
            <w:r w:rsidR="003F3BAC">
              <w:t xml:space="preserve"> </w:t>
            </w:r>
            <w:r>
              <w:t>з дня отримання, акт вважається підписаним та узгодженим сторонами.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 xml:space="preserve">Сторони визнають, що електронні документи (рахунки, акти приймання-передавання товарної продукції, повідомлення про припинення постачання електричної енергії та інші) сформовані в особистому кабінеті та передані за допомогою </w:t>
            </w:r>
            <w:proofErr w:type="spellStart"/>
            <w:r>
              <w:t>Інтернет-сервісів</w:t>
            </w:r>
            <w:proofErr w:type="spellEnd"/>
            <w:r>
              <w:t xml:space="preserve"> є офіційними та мають таку саму юридичну силу, як і паперові.</w:t>
            </w:r>
          </w:p>
          <w:p w:rsidR="004D0D70" w:rsidRDefault="000E0C8D">
            <w:pPr>
              <w:pStyle w:val="TableParagraph"/>
              <w:spacing w:line="254" w:lineRule="exact"/>
              <w:ind w:left="110" w:right="98"/>
              <w:jc w:val="both"/>
            </w:pPr>
            <w:r>
              <w:t>Для нових споживачів перший рахунок на попередню оплату надається протягом 3-х днів з дати подання Споживачем заяви-приєднання Постачальнику.</w:t>
            </w:r>
          </w:p>
        </w:tc>
      </w:tr>
      <w:tr w:rsidR="004D0D70">
        <w:trPr>
          <w:trHeight w:val="1500"/>
        </w:trPr>
        <w:tc>
          <w:tcPr>
            <w:tcW w:w="1978" w:type="dxa"/>
            <w:vMerge w:val="restart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06"/>
            </w:pPr>
          </w:p>
          <w:p w:rsidR="004D0D70" w:rsidRDefault="000E0C8D">
            <w:pPr>
              <w:pStyle w:val="TableParagraph"/>
              <w:spacing w:before="1" w:line="242" w:lineRule="auto"/>
              <w:ind w:left="618" w:right="223" w:hanging="183"/>
              <w:rPr>
                <w:b/>
                <w:i/>
              </w:rPr>
            </w:pPr>
            <w:r>
              <w:rPr>
                <w:b/>
                <w:i/>
              </w:rPr>
              <w:t xml:space="preserve">10.Порядок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33" w:lineRule="exact"/>
              <w:ind w:left="110"/>
            </w:pPr>
            <w:r>
              <w:t>ОплатаелектричноїенергіїздійснюєтьсяСпоживачемуформіпопередньої</w:t>
            </w:r>
            <w:r>
              <w:rPr>
                <w:spacing w:val="-2"/>
              </w:rPr>
              <w:t>оплати.</w:t>
            </w:r>
          </w:p>
          <w:p w:rsidR="004D0D70" w:rsidRDefault="000E0C8D">
            <w:pPr>
              <w:pStyle w:val="TableParagraph"/>
              <w:spacing w:before="3" w:line="237" w:lineRule="auto"/>
              <w:ind w:left="110"/>
            </w:pPr>
            <w:r>
              <w:t>Розмір попередньої оплати</w:t>
            </w:r>
            <w:r w:rsidR="003F3BAC">
              <w:t xml:space="preserve"> </w:t>
            </w:r>
            <w:r>
              <w:t>визначається</w:t>
            </w:r>
            <w:r w:rsidR="003F3BAC">
              <w:t xml:space="preserve"> </w:t>
            </w:r>
            <w:r>
              <w:t>на</w:t>
            </w:r>
            <w:r w:rsidR="003F3BAC">
              <w:t xml:space="preserve"> </w:t>
            </w:r>
            <w:r>
              <w:t>підставі</w:t>
            </w:r>
            <w:r w:rsidR="003F3BAC">
              <w:t xml:space="preserve"> </w:t>
            </w:r>
            <w:r>
              <w:t>прогнозованих (заявлених) обсягів споживання електричної енергії на розрахунковий період.</w:t>
            </w:r>
          </w:p>
          <w:p w:rsidR="004D0D70" w:rsidRDefault="000E0C8D">
            <w:pPr>
              <w:pStyle w:val="TableParagraph"/>
              <w:spacing w:before="8" w:line="237" w:lineRule="auto"/>
              <w:ind w:left="110"/>
            </w:pPr>
            <w:r>
              <w:t>Перерахування коштівнапопереднюоплатуздійснюєтьсяСпоживачемурозміріповноївартості прогнозованого обсягу</w:t>
            </w:r>
            <w:r w:rsidR="003F3BAC">
              <w:t xml:space="preserve"> </w:t>
            </w:r>
            <w:r>
              <w:t>(100%) не</w:t>
            </w:r>
            <w:r w:rsidR="003F3BAC">
              <w:t xml:space="preserve"> </w:t>
            </w:r>
            <w:r>
              <w:t xml:space="preserve">пізніше, ніж </w:t>
            </w:r>
            <w:r w:rsidRPr="003F3BAC">
              <w:t>за 6</w:t>
            </w:r>
            <w:r w:rsidR="003F3BAC" w:rsidRPr="003F3BAC">
              <w:t xml:space="preserve"> </w:t>
            </w:r>
            <w:r w:rsidRPr="003F3BAC">
              <w:t xml:space="preserve">календарних днів </w:t>
            </w:r>
            <w:r>
              <w:t>до</w:t>
            </w:r>
          </w:p>
          <w:p w:rsidR="004D0D70" w:rsidRDefault="003F3BAC">
            <w:pPr>
              <w:pStyle w:val="TableParagraph"/>
              <w:spacing w:before="1" w:line="234" w:lineRule="exact"/>
              <w:ind w:left="110"/>
            </w:pPr>
            <w:r>
              <w:t>Д</w:t>
            </w:r>
            <w:r w:rsidR="000E0C8D">
              <w:t>ати</w:t>
            </w:r>
            <w:r>
              <w:t xml:space="preserve"> </w:t>
            </w:r>
            <w:r w:rsidR="000E0C8D">
              <w:t>початку</w:t>
            </w:r>
            <w:r>
              <w:t xml:space="preserve"> </w:t>
            </w:r>
            <w:r w:rsidR="000E0C8D">
              <w:t>розрахункового</w:t>
            </w:r>
            <w:r>
              <w:t xml:space="preserve"> </w:t>
            </w:r>
            <w:r w:rsidR="000E0C8D">
              <w:rPr>
                <w:spacing w:val="-2"/>
              </w:rPr>
              <w:t>періоду.</w:t>
            </w:r>
          </w:p>
        </w:tc>
      </w:tr>
      <w:tr w:rsidR="004D0D70">
        <w:trPr>
          <w:trHeight w:val="4810"/>
        </w:trPr>
        <w:tc>
          <w:tcPr>
            <w:tcW w:w="1978" w:type="dxa"/>
            <w:vMerge/>
            <w:tcBorders>
              <w:top w:val="nil"/>
            </w:tcBorders>
          </w:tcPr>
          <w:p w:rsidR="004D0D70" w:rsidRDefault="004D0D70">
            <w:pPr>
              <w:rPr>
                <w:sz w:val="2"/>
                <w:szCs w:val="2"/>
              </w:rPr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89"/>
              <w:jc w:val="both"/>
            </w:pPr>
            <w:r>
              <w:t>На підставі отриманих даних комерційного обліку, після закінчення розрахункового періоду Постачальник, з урахуванням суми здійсненої Споживачем</w:t>
            </w:r>
            <w:r w:rsidR="003F3BAC">
              <w:t xml:space="preserve"> </w:t>
            </w:r>
            <w:r>
              <w:t>попередньої оплати, проводить коригування обсягів оплати, що була здійснена Споживачем за розрахунковий період, та формує Споживачу рахунок на оплату за фактично спожиту електричну енергію у такому розрахунковому періоді з відображенням проведеного перерахунку (зменшенням платежу на суму здійсненої попередньої оплати).</w:t>
            </w:r>
            <w:r w:rsidR="003F3BAC">
              <w:t xml:space="preserve"> </w:t>
            </w:r>
            <w:r>
              <w:t>Якщо обсяг фактично спожитої електричної енергії виявиться більшим ніж прогнозований, різниця між сумою попередньої оплати та вартістю фактично спожитої електричної енергії має бути сплачена Споживачем протягом 5 робочих днів з дня отримання рахунку за фактично спожиту електричну енергію або самостійно сформованим платіжним документом, але в будь-якому випадку не пізніше 20 календарного дня місяця наступного за розрахунковим.</w:t>
            </w:r>
          </w:p>
          <w:p w:rsidR="004D0D70" w:rsidRDefault="000E0C8D">
            <w:pPr>
              <w:pStyle w:val="TableParagraph"/>
              <w:ind w:left="110" w:right="100"/>
              <w:jc w:val="both"/>
            </w:pPr>
            <w:r>
              <w:t>Якщо обсяг фактично спожитої електричної енергії виявиться меншим ніж прогнозований, то надлишкові кошти зараховуються як оплата наступних періодів.</w:t>
            </w:r>
          </w:p>
          <w:p w:rsidR="004D0D70" w:rsidRDefault="000E0C8D">
            <w:pPr>
              <w:pStyle w:val="TableParagraph"/>
              <w:spacing w:line="242" w:lineRule="auto"/>
              <w:ind w:left="110" w:right="101"/>
              <w:jc w:val="both"/>
            </w:pPr>
            <w:r>
              <w:t>Якщо Споживач не оплатив виставлений платіжний документ або оплатив його із запізненням або якщо він перебуває в стані ліквідації чи реорганізації, готується до ліквідації, Постачальник має право, встановити більш короткий розрахунковий період абозвернутисязвимогоющодонаданнягарантійналежноговиконання</w:t>
            </w:r>
            <w:r>
              <w:rPr>
                <w:spacing w:val="-2"/>
              </w:rPr>
              <w:t>договірних</w:t>
            </w:r>
          </w:p>
          <w:p w:rsidR="004D0D70" w:rsidRDefault="000E0C8D">
            <w:pPr>
              <w:pStyle w:val="TableParagraph"/>
              <w:spacing w:line="229" w:lineRule="exact"/>
              <w:ind w:left="110"/>
              <w:jc w:val="both"/>
            </w:pPr>
            <w:r>
              <w:t>зобов’язань,</w:t>
            </w:r>
            <w:r w:rsidR="003F3BAC">
              <w:t xml:space="preserve"> </w:t>
            </w:r>
            <w:r>
              <w:t>а</w:t>
            </w:r>
            <w:r w:rsidR="003F3BAC">
              <w:t xml:space="preserve"> </w:t>
            </w:r>
            <w:r>
              <w:t>Споживач</w:t>
            </w:r>
            <w:r w:rsidR="003F3BAC">
              <w:t xml:space="preserve"> </w:t>
            </w:r>
            <w:r>
              <w:t>зобов’язаний</w:t>
            </w:r>
            <w:r w:rsidR="003F3BAC">
              <w:t xml:space="preserve"> </w:t>
            </w:r>
            <w:proofErr w:type="spellStart"/>
            <w:r>
              <w:t>задовільнити</w:t>
            </w:r>
            <w:proofErr w:type="spellEnd"/>
            <w:r w:rsidR="003F3BAC">
              <w:t xml:space="preserve"> </w:t>
            </w:r>
            <w:r>
              <w:t>таку</w:t>
            </w:r>
            <w:r w:rsidR="003F3BAC">
              <w:t xml:space="preserve"> </w:t>
            </w:r>
            <w:r>
              <w:rPr>
                <w:spacing w:val="-2"/>
              </w:rPr>
              <w:t>вимогу.</w:t>
            </w:r>
          </w:p>
        </w:tc>
      </w:tr>
      <w:tr w:rsidR="004D0D70">
        <w:trPr>
          <w:trHeight w:val="1516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242"/>
            </w:pPr>
          </w:p>
          <w:p w:rsidR="004D0D70" w:rsidRDefault="000E0C8D">
            <w:pPr>
              <w:pStyle w:val="TableParagraph"/>
              <w:spacing w:before="1"/>
              <w:ind w:left="618" w:right="482" w:hanging="116"/>
              <w:rPr>
                <w:b/>
                <w:i/>
              </w:rPr>
            </w:pPr>
            <w:r>
              <w:rPr>
                <w:b/>
                <w:i/>
              </w:rPr>
              <w:t xml:space="preserve">11.Спосіб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Розрахунки за електричну енергію здійснюються виключно в грошовій формі відповідно до умов Договору, шляхом перерахування коштів:</w:t>
            </w:r>
          </w:p>
          <w:p w:rsidR="004D0D70" w:rsidRDefault="000E0C8D">
            <w:pPr>
              <w:pStyle w:val="TableParagraph"/>
              <w:ind w:left="110" w:right="93"/>
              <w:jc w:val="both"/>
            </w:pPr>
            <w:r>
              <w:t xml:space="preserve">- на поточний рахунок </w:t>
            </w:r>
            <w:r>
              <w:rPr>
                <w:b/>
              </w:rPr>
              <w:t xml:space="preserve">із спеціальним режимом використання </w:t>
            </w:r>
            <w:r>
              <w:t>Постачальника, вказаний у рахунку на оплату, на сайті Постачальника та в Договорі про постачання електричної енергії споживачу.</w:t>
            </w:r>
          </w:p>
        </w:tc>
      </w:tr>
    </w:tbl>
    <w:p w:rsidR="004D0D70" w:rsidRDefault="004D0D70">
      <w:pPr>
        <w:jc w:val="both"/>
        <w:sectPr w:rsidR="004D0D70">
          <w:type w:val="continuous"/>
          <w:pgSz w:w="11910" w:h="16840"/>
          <w:pgMar w:top="800" w:right="440" w:bottom="686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</w:pPr>
            <w:r>
              <w:t>Споживач</w:t>
            </w:r>
            <w:r w:rsidR="003F3BAC">
              <w:t xml:space="preserve"> не обмежується </w:t>
            </w:r>
            <w:r>
              <w:t>у</w:t>
            </w:r>
            <w:r w:rsidR="003F3BAC">
              <w:t xml:space="preserve"> </w:t>
            </w:r>
            <w:r>
              <w:t>праві</w:t>
            </w:r>
            <w:r w:rsidR="003F3BAC">
              <w:t xml:space="preserve"> </w:t>
            </w:r>
            <w:r>
              <w:t>здійснювати</w:t>
            </w:r>
            <w:r w:rsidR="003F3BAC">
              <w:t xml:space="preserve"> </w:t>
            </w:r>
            <w:r>
              <w:t>оплату</w:t>
            </w:r>
            <w:r w:rsidR="003F3BAC">
              <w:t xml:space="preserve"> </w:t>
            </w:r>
            <w:r>
              <w:t>за</w:t>
            </w:r>
            <w:r w:rsidR="003F3BAC">
              <w:t xml:space="preserve"> </w:t>
            </w:r>
            <w:r>
              <w:t>Договором</w:t>
            </w:r>
            <w:r w:rsidR="003F3BAC">
              <w:t xml:space="preserve"> </w:t>
            </w:r>
            <w:r>
              <w:rPr>
                <w:spacing w:val="-2"/>
              </w:rPr>
              <w:t>через: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</w:pPr>
            <w:r>
              <w:t>банківську</w:t>
            </w:r>
            <w:r w:rsidR="003F3BAC">
              <w:t xml:space="preserve"> </w:t>
            </w:r>
            <w:r>
              <w:t>платіжну</w:t>
            </w:r>
            <w:r w:rsidR="003F3BAC">
              <w:t xml:space="preserve"> </w:t>
            </w:r>
            <w:r>
              <w:rPr>
                <w:spacing w:val="-2"/>
              </w:rPr>
              <w:t>систему;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он-лайн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 w:line="246" w:lineRule="exact"/>
            </w:pPr>
            <w:r>
              <w:t>поштовий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6" w:lineRule="exact"/>
            </w:pPr>
            <w:r>
              <w:t>в</w:t>
            </w:r>
            <w:r w:rsidR="003F3BAC">
              <w:t xml:space="preserve"> </w:t>
            </w:r>
            <w:r>
              <w:t>інший,незаборонений</w:t>
            </w:r>
            <w:r w:rsidR="003F3BAC">
              <w:t xml:space="preserve"> </w:t>
            </w:r>
            <w:r>
              <w:t>чинним</w:t>
            </w:r>
            <w:r w:rsidR="003F3BAC">
              <w:t xml:space="preserve"> </w:t>
            </w:r>
            <w:r>
              <w:t>законодавством</w:t>
            </w:r>
            <w:r w:rsidR="003F3BAC">
              <w:t xml:space="preserve"> </w:t>
            </w:r>
            <w:r>
              <w:rPr>
                <w:spacing w:val="-2"/>
              </w:rPr>
              <w:t>спосіб.</w:t>
            </w:r>
          </w:p>
        </w:tc>
      </w:tr>
      <w:tr w:rsidR="004D0D70">
        <w:trPr>
          <w:trHeight w:val="1517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118"/>
            </w:pPr>
          </w:p>
          <w:p w:rsidR="004D0D70" w:rsidRDefault="000E0C8D">
            <w:pPr>
              <w:pStyle w:val="TableParagraph"/>
              <w:ind w:left="455" w:hanging="312"/>
              <w:rPr>
                <w:b/>
                <w:i/>
              </w:rPr>
            </w:pPr>
            <w:r>
              <w:rPr>
                <w:b/>
                <w:i/>
              </w:rPr>
              <w:t>12.Розмір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2"/>
              </w:rPr>
              <w:t>порушення</w:t>
            </w:r>
          </w:p>
          <w:p w:rsidR="004D0D70" w:rsidRDefault="003F3BAC">
            <w:pPr>
              <w:pStyle w:val="TableParagraph"/>
              <w:spacing w:before="3"/>
              <w:ind w:left="239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0E0C8D">
              <w:rPr>
                <w:b/>
                <w:i/>
              </w:rPr>
              <w:t>троку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заборгованості, що нараховується за коженденьпростроченняплатежубезобмеженняперіодуїїнарахуваннядо</w:t>
            </w:r>
            <w:r>
              <w:rPr>
                <w:spacing w:val="-4"/>
              </w:rPr>
              <w:t>дати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повної оплати, а також 3% річних від суми боргу та інфляційні втрати з урахуванням встановленого індексу інфляції за весь період прострочення.</w:t>
            </w:r>
          </w:p>
        </w:tc>
      </w:tr>
      <w:tr w:rsidR="004D0D70">
        <w:trPr>
          <w:trHeight w:val="43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1"/>
            </w:pPr>
          </w:p>
          <w:p w:rsidR="004D0D70" w:rsidRDefault="000E0C8D">
            <w:pPr>
              <w:pStyle w:val="TableParagraph"/>
              <w:spacing w:line="242" w:lineRule="auto"/>
              <w:ind w:left="647" w:hanging="533"/>
              <w:rPr>
                <w:b/>
                <w:i/>
              </w:rPr>
            </w:pPr>
            <w:r>
              <w:rPr>
                <w:b/>
                <w:i/>
              </w:rPr>
              <w:t>13.Інші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штрафні </w:t>
            </w:r>
            <w:r>
              <w:rPr>
                <w:b/>
                <w:i/>
                <w:spacing w:val="-2"/>
              </w:rPr>
              <w:t>санкції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0"/>
              <w:jc w:val="both"/>
            </w:pPr>
            <w:r>
              <w:t>У разі дострокового припинення (розірвання) Договору за ініціативою Споживача, Споживач зобов'язаний сплатити Постачальнику штраф у розмірі вартості електричної енергії, замовленої Споживачем як прогнозований договірний обсяг споживання електричної енергії</w:t>
            </w:r>
            <w:r w:rsidR="003F3BAC">
              <w:t xml:space="preserve"> </w:t>
            </w:r>
            <w:r>
              <w:t>в</w:t>
            </w:r>
            <w:r w:rsidR="003F3BAC">
              <w:t xml:space="preserve"> </w:t>
            </w:r>
            <w:r>
              <w:t>місяці, в</w:t>
            </w:r>
            <w:r w:rsidR="003F3BAC">
              <w:t xml:space="preserve"> </w:t>
            </w:r>
            <w:r>
              <w:t>якому</w:t>
            </w:r>
            <w:r w:rsidR="003F3BAC">
              <w:t xml:space="preserve"> </w:t>
            </w:r>
            <w:r>
              <w:t>Постачальником було</w:t>
            </w:r>
            <w:r w:rsidR="003F3BAC">
              <w:t xml:space="preserve"> </w:t>
            </w:r>
            <w:r>
              <w:t>отримано</w:t>
            </w:r>
            <w:r w:rsidR="003F3BAC">
              <w:t xml:space="preserve"> </w:t>
            </w:r>
            <w:r>
              <w:t>повідомлення про дострокове припинення (розірвання) Договору.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У випадку не повідомлення або повідомлення з порушенням строків Постачальника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дострокове</w:t>
            </w:r>
            <w:r w:rsidR="003F3BAC">
              <w:t xml:space="preserve"> </w:t>
            </w:r>
            <w:r>
              <w:t>припинення (розірвання)Договору Споживачем (тобто</w:t>
            </w:r>
            <w:r w:rsidR="003F3BAC">
              <w:t xml:space="preserve"> </w:t>
            </w:r>
            <w:r>
              <w:t>менше</w:t>
            </w:r>
            <w:r w:rsidR="003F3BAC">
              <w:t xml:space="preserve"> </w:t>
            </w:r>
            <w:r>
              <w:t>ніж за 21 календарний день до дати припинення (розірвання) Договору)), Споживач сплачує штраф у розмірі подвійної вартості електричної енергії, спожитої за розрахунковий період, який</w:t>
            </w:r>
            <w:r w:rsidR="003F3BAC">
              <w:t xml:space="preserve"> </w:t>
            </w:r>
            <w:r>
              <w:t>передував даті отримання Постачальником повідомлення (інформації) про необхідність припинення дії (розірвання) Договору (направлене споживачем, адміністратором комерційного обліку, оператором системи тощо).</w:t>
            </w:r>
          </w:p>
          <w:p w:rsidR="004D0D70" w:rsidRDefault="000E0C8D" w:rsidP="003F3BAC">
            <w:pPr>
              <w:pStyle w:val="TableParagraph"/>
              <w:ind w:left="110" w:right="85"/>
              <w:jc w:val="both"/>
            </w:pPr>
            <w:r>
              <w:t>Штрафні санкції, передбачені даним розділом Комерційної пропозиції, не застосовуються у випадку, якщо Договір буде розірвано у разі не згоди Споживача із новими умовами Договору, в тому числі щодо зміни ціни за електричну енергію, за умови,що</w:t>
            </w:r>
            <w:r w:rsidR="003F3BAC">
              <w:t xml:space="preserve"> </w:t>
            </w:r>
            <w:r>
              <w:t>Споживачем</w:t>
            </w:r>
            <w:r w:rsidR="003F3BAC">
              <w:t xml:space="preserve"> </w:t>
            </w:r>
            <w:r>
              <w:t>буде</w:t>
            </w:r>
            <w:r w:rsidR="003F3BAC">
              <w:t xml:space="preserve"> </w:t>
            </w:r>
            <w:r>
              <w:t>надано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це</w:t>
            </w:r>
            <w:r w:rsidR="003F3BAC">
              <w:t xml:space="preserve"> </w:t>
            </w:r>
            <w:r>
              <w:t>відповідне</w:t>
            </w:r>
            <w:r w:rsidR="003F3BAC">
              <w:t xml:space="preserve"> </w:t>
            </w:r>
            <w:r>
              <w:t>повідомлення</w:t>
            </w:r>
            <w:r w:rsidR="003F3BAC">
              <w:t xml:space="preserve"> </w:t>
            </w:r>
            <w:r>
              <w:t>Постачальнику</w:t>
            </w:r>
            <w:r w:rsidR="003F3BAC">
              <w:t xml:space="preserve"> з</w:t>
            </w:r>
            <w:r>
              <w:t>гідно</w:t>
            </w:r>
            <w:r w:rsidR="003F3BAC">
              <w:t xml:space="preserve"> </w:t>
            </w:r>
            <w:r>
              <w:t>з</w:t>
            </w:r>
            <w:r w:rsidR="003F3BAC">
              <w:t xml:space="preserve"> </w:t>
            </w:r>
            <w:r>
              <w:t>умовами</w:t>
            </w:r>
            <w:r w:rsidR="003F3BAC">
              <w:t xml:space="preserve"> </w:t>
            </w:r>
            <w:r>
              <w:rPr>
                <w:spacing w:val="-2"/>
              </w:rPr>
              <w:t>Договору.</w:t>
            </w:r>
          </w:p>
        </w:tc>
      </w:tr>
      <w:tr w:rsidR="004D0D70">
        <w:trPr>
          <w:trHeight w:val="1272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134" w:right="116" w:firstLine="62"/>
              <w:rPr>
                <w:b/>
                <w:i/>
              </w:rPr>
            </w:pPr>
            <w:r>
              <w:rPr>
                <w:b/>
                <w:i/>
              </w:rPr>
              <w:t>14. Компенсація за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недотримання</w:t>
            </w:r>
          </w:p>
          <w:p w:rsidR="004D0D70" w:rsidRDefault="000E0C8D">
            <w:pPr>
              <w:pStyle w:val="TableParagraph"/>
              <w:spacing w:line="251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комерційної</w:t>
            </w:r>
          </w:p>
          <w:p w:rsidR="004D0D70" w:rsidRDefault="000E0C8D">
            <w:pPr>
              <w:pStyle w:val="TableParagraph"/>
              <w:spacing w:line="250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якості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надання </w:t>
            </w:r>
            <w:r>
              <w:rPr>
                <w:b/>
                <w:i/>
                <w:spacing w:val="-2"/>
              </w:rPr>
              <w:t>послуг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7"/>
            </w:pPr>
          </w:p>
          <w:p w:rsidR="004D0D70" w:rsidRDefault="000E0C8D">
            <w:pPr>
              <w:pStyle w:val="TableParagraph"/>
              <w:ind w:left="110"/>
            </w:pPr>
            <w: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4D0D70">
        <w:trPr>
          <w:trHeight w:val="480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1"/>
            </w:pPr>
          </w:p>
          <w:p w:rsidR="004D0D70" w:rsidRDefault="000E0C8D">
            <w:pPr>
              <w:pStyle w:val="TableParagraph"/>
              <w:ind w:left="412" w:right="223" w:hanging="53"/>
              <w:rPr>
                <w:b/>
                <w:i/>
              </w:rPr>
            </w:pPr>
            <w:r>
              <w:rPr>
                <w:b/>
                <w:i/>
              </w:rPr>
              <w:t>15.Строк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дії договору та</w:t>
            </w:r>
          </w:p>
          <w:p w:rsidR="004D0D70" w:rsidRDefault="002F4271">
            <w:pPr>
              <w:pStyle w:val="TableParagraph"/>
              <w:spacing w:before="3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  <w:r w:rsidR="000E0C8D">
              <w:rPr>
                <w:b/>
                <w:i/>
              </w:rPr>
              <w:t>мови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пролонгації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tabs>
                <w:tab w:val="left" w:pos="2958"/>
              </w:tabs>
              <w:spacing w:line="242" w:lineRule="auto"/>
              <w:ind w:left="110" w:right="95"/>
              <w:jc w:val="both"/>
            </w:pPr>
            <w:r>
              <w:t>Для споживачів, у яких є чинний Договір про постачання електричної енергії споживачу, постачання електричної енергії на умовах даної комерційної пропозиції здійснюється з “”</w:t>
            </w:r>
            <w:r>
              <w:rPr>
                <w:u w:val="single"/>
              </w:rPr>
              <w:tab/>
            </w:r>
            <w:r>
              <w:t>20року.</w:t>
            </w:r>
          </w:p>
          <w:p w:rsidR="004D0D70" w:rsidRDefault="000E0C8D">
            <w:pPr>
              <w:pStyle w:val="TableParagraph"/>
              <w:ind w:left="110" w:right="87"/>
              <w:jc w:val="both"/>
            </w:pPr>
            <w:r>
              <w:t>Для інших споживачів Договір набирає чинності з дня, наступного за днем отримання Постачальником заяви-приєднання Споживача до умов Договору про постачання електричної енергії споживачу, в якій повідомляється про обрання Комерційної пропозиції «Базова», якщо протягом трьох робочих днів Споживачу не буде повідомлено про невідповідність його критеріям обраної комерційної пропозиції.</w:t>
            </w:r>
          </w:p>
          <w:p w:rsidR="004D0D70" w:rsidRDefault="000E0C8D">
            <w:pPr>
              <w:pStyle w:val="TableParagraph"/>
              <w:tabs>
                <w:tab w:val="left" w:pos="4571"/>
                <w:tab w:val="left" w:pos="7328"/>
              </w:tabs>
              <w:ind w:left="110" w:right="89"/>
              <w:jc w:val="both"/>
            </w:pPr>
            <w:r>
              <w:t>Договір укладається на строк з “</w:t>
            </w:r>
            <w:r w:rsidR="0043391D">
              <w:t xml:space="preserve">    </w:t>
            </w:r>
            <w:r>
              <w:t>”</w:t>
            </w:r>
            <w:r>
              <w:rPr>
                <w:u w:val="single"/>
              </w:rPr>
              <w:tab/>
            </w:r>
            <w:r>
              <w:t>20</w:t>
            </w:r>
            <w:r w:rsidR="0043391D">
              <w:t xml:space="preserve">  </w:t>
            </w:r>
            <w:r>
              <w:t>року до “</w:t>
            </w:r>
            <w:r w:rsidR="0043391D">
              <w:t xml:space="preserve">   </w:t>
            </w:r>
            <w:r>
              <w:t>”</w:t>
            </w:r>
            <w:r>
              <w:rPr>
                <w:u w:val="single"/>
              </w:rPr>
              <w:tab/>
            </w:r>
            <w:r>
              <w:t>20 року(</w:t>
            </w:r>
            <w:r>
              <w:rPr>
                <w:b/>
              </w:rPr>
              <w:t>не менше 3 місяці</w:t>
            </w:r>
            <w:r>
              <w:t>). Договір вважається продовженим на той самий термін на тих самих умовах, що передбачені Договором, якщо за 21 календарний день до закінчення</w:t>
            </w:r>
            <w:r w:rsidR="002F4271">
              <w:t xml:space="preserve"> </w:t>
            </w:r>
            <w:r>
              <w:t>терміну дії Договору жодна зі Сторін не заявить про припинення його дії або перегляд його умов.</w:t>
            </w:r>
          </w:p>
          <w:p w:rsidR="004D0D70" w:rsidRDefault="000E0C8D">
            <w:pPr>
              <w:pStyle w:val="TableParagraph"/>
              <w:spacing w:line="242" w:lineRule="auto"/>
              <w:ind w:left="110" w:right="93"/>
              <w:jc w:val="both"/>
            </w:pPr>
            <w:r>
              <w:t>Договір</w:t>
            </w:r>
            <w:r w:rsidR="002F4271">
              <w:t xml:space="preserve"> </w:t>
            </w:r>
            <w:r>
              <w:t>може</w:t>
            </w:r>
            <w:r w:rsidR="002F4271">
              <w:t xml:space="preserve"> </w:t>
            </w:r>
            <w:r>
              <w:t>бути розірвано</w:t>
            </w:r>
            <w:r w:rsidR="002F4271">
              <w:t xml:space="preserve"> </w:t>
            </w:r>
            <w:r>
              <w:t>за ініціативою</w:t>
            </w:r>
            <w:r w:rsidR="002F4271">
              <w:t xml:space="preserve"> </w:t>
            </w:r>
            <w:r>
              <w:t>будь-якої</w:t>
            </w:r>
            <w:r w:rsidR="002F4271">
              <w:t xml:space="preserve"> </w:t>
            </w:r>
            <w:r>
              <w:t>зі</w:t>
            </w:r>
            <w:r w:rsidR="002F4271">
              <w:t xml:space="preserve"> </w:t>
            </w:r>
            <w:r>
              <w:t>Сторін у</w:t>
            </w:r>
            <w:r w:rsidR="002F4271">
              <w:t xml:space="preserve"> </w:t>
            </w:r>
            <w:r>
              <w:t xml:space="preserve">порядку, визначеному законодавством України та цим Договором, але в будь-якому випадку Договір діє до повної оплати заборгованості за Договором, включаючи штрафні санкції. Інформація про зміни даної комерційної пропозиції оприлюднюється на офіційному </w:t>
            </w:r>
            <w:proofErr w:type="spellStart"/>
            <w:r>
              <w:t>веб</w:t>
            </w:r>
            <w:proofErr w:type="spellEnd"/>
            <w:r>
              <w:t xml:space="preserve"> - сайті Постачальника не пізніше ніж за 20 календарних днів до строку введення відповідних</w:t>
            </w:r>
          </w:p>
          <w:p w:rsidR="004D0D70" w:rsidRDefault="000E0C8D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змін.</w:t>
            </w:r>
          </w:p>
        </w:tc>
      </w:tr>
      <w:tr w:rsidR="004D0D70">
        <w:trPr>
          <w:trHeight w:val="2280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spacing w:before="1" w:line="237" w:lineRule="auto"/>
              <w:ind w:left="700" w:right="387" w:hanging="293"/>
              <w:rPr>
                <w:b/>
                <w:i/>
              </w:rPr>
            </w:pPr>
            <w:r>
              <w:rPr>
                <w:b/>
                <w:i/>
              </w:rPr>
              <w:t xml:space="preserve">16.Суттєві </w:t>
            </w:r>
            <w:r>
              <w:rPr>
                <w:b/>
                <w:i/>
                <w:spacing w:val="-2"/>
              </w:rPr>
              <w:t>умови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Споживач зобов’язується письмово повідомити про зміну будь-яких реквізитів не пізніше, ніж через 10 днів після їх настання.</w:t>
            </w:r>
          </w:p>
          <w:p w:rsidR="004D0D70" w:rsidRDefault="000E0C8D" w:rsidP="002F4271">
            <w:pPr>
              <w:pStyle w:val="TableParagraph"/>
              <w:ind w:left="110" w:right="89"/>
              <w:jc w:val="both"/>
            </w:pPr>
            <w:r>
              <w:t>У разі незгоди зі зміною будь-яких умов Договору, про які</w:t>
            </w:r>
            <w:r w:rsidR="002F4271">
              <w:t xml:space="preserve"> </w:t>
            </w:r>
            <w:r>
              <w:t>постачальник проінформував Споживача належним чином, Споживач зобов’язаний протягом 5 робочих днів з моменту отримання повідомлення про зміну умов, але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пізніше</w:t>
            </w:r>
            <w:r w:rsidR="002F4271">
              <w:t xml:space="preserve"> </w:t>
            </w:r>
            <w:r>
              <w:t>ніж за 10 днів до зазначеної в повідомленні дати зміни умов договору повідомити про свою незгоду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ініціювати</w:t>
            </w:r>
            <w:r w:rsidR="002F4271">
              <w:t xml:space="preserve"> дострокове розірвання </w:t>
            </w:r>
            <w:r>
              <w:t>Договору</w:t>
            </w:r>
            <w:r w:rsidR="002F4271">
              <w:t xml:space="preserve"> </w:t>
            </w:r>
            <w:r>
              <w:rPr>
                <w:spacing w:val="-2"/>
              </w:rPr>
              <w:t>шляхом</w:t>
            </w:r>
            <w:r w:rsidR="002F4271">
              <w:t xml:space="preserve"> </w:t>
            </w:r>
            <w:r>
              <w:t>підписання та направлення Постачальнику відповідної додаткової угоди. У разі, якщо Споживач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повідомив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свою</w:t>
            </w:r>
            <w:r w:rsidR="002F4271">
              <w:t xml:space="preserve"> </w:t>
            </w:r>
            <w:r>
              <w:t>незгоду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дострокове</w:t>
            </w:r>
            <w:r w:rsidR="002F4271">
              <w:t xml:space="preserve"> </w:t>
            </w:r>
            <w:r>
              <w:rPr>
                <w:spacing w:val="-2"/>
              </w:rPr>
              <w:t>розірвання</w:t>
            </w:r>
          </w:p>
        </w:tc>
      </w:tr>
    </w:tbl>
    <w:p w:rsidR="004D0D70" w:rsidRDefault="004D0D70">
      <w:pPr>
        <w:spacing w:line="244" w:lineRule="exact"/>
        <w:jc w:val="both"/>
        <w:sectPr w:rsidR="004D0D70"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Договору з цієї підстави, вважається, що Споживач погодився з новими умовами Договору. У такому випадку двостороння угода про зміну умов Договору (за необхідності), підписується</w:t>
            </w:r>
            <w:r w:rsidR="002F4271">
              <w:t xml:space="preserve"> </w:t>
            </w:r>
            <w:r>
              <w:t xml:space="preserve">із </w:t>
            </w:r>
            <w:r w:rsidR="002F4271">
              <w:t xml:space="preserve">застосування положень </w:t>
            </w:r>
            <w:r>
              <w:t>частини</w:t>
            </w:r>
            <w:r w:rsidR="002F4271">
              <w:t xml:space="preserve"> </w:t>
            </w:r>
            <w:r>
              <w:t>3статті</w:t>
            </w:r>
            <w:r w:rsidR="002F4271">
              <w:t xml:space="preserve"> </w:t>
            </w:r>
            <w:r>
              <w:t>631ЦК</w:t>
            </w:r>
            <w:r>
              <w:rPr>
                <w:spacing w:val="-2"/>
              </w:rPr>
              <w:t>України.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У разі</w:t>
            </w:r>
            <w:r w:rsidR="002F4271">
              <w:t xml:space="preserve"> </w:t>
            </w:r>
            <w:r>
              <w:t>суперечностей (невідповідності) будь-якої з умов Договору умовам,викладеним у цій Комерційній пропозиції, застосовуються, умови цієї Комерційної пропозиції.</w:t>
            </w:r>
          </w:p>
        </w:tc>
      </w:tr>
      <w:tr w:rsidR="004D0D70">
        <w:trPr>
          <w:trHeight w:val="251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34"/>
            </w:pPr>
          </w:p>
          <w:p w:rsidR="004D0D70" w:rsidRDefault="000E0C8D">
            <w:pPr>
              <w:pStyle w:val="TableParagraph"/>
              <w:spacing w:line="242" w:lineRule="auto"/>
              <w:ind w:left="431" w:right="406"/>
              <w:rPr>
                <w:b/>
                <w:i/>
              </w:rPr>
            </w:pPr>
            <w:r>
              <w:rPr>
                <w:b/>
                <w:i/>
              </w:rPr>
              <w:t xml:space="preserve">17.Статус </w:t>
            </w:r>
            <w:r>
              <w:rPr>
                <w:b/>
                <w:i/>
                <w:spacing w:val="-2"/>
              </w:rPr>
              <w:t xml:space="preserve">платника </w:t>
            </w:r>
            <w:r>
              <w:rPr>
                <w:b/>
                <w:i/>
              </w:rPr>
              <w:t>податку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</w:t>
            </w:r>
          </w:p>
          <w:p w:rsidR="004D0D70" w:rsidRDefault="002F4271">
            <w:pPr>
              <w:pStyle w:val="TableParagraph"/>
              <w:spacing w:line="250" w:lineRule="exact"/>
              <w:ind w:left="177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="000E0C8D">
              <w:rPr>
                <w:b/>
                <w:i/>
              </w:rPr>
              <w:t>одану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вартість</w:t>
            </w:r>
          </w:p>
        </w:tc>
        <w:tc>
          <w:tcPr>
            <w:tcW w:w="8519" w:type="dxa"/>
          </w:tcPr>
          <w:p w:rsidR="000446BB" w:rsidRDefault="000E0C8D" w:rsidP="000446BB">
            <w:pPr>
              <w:pStyle w:val="Heading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sz w:val="22"/>
                <w:szCs w:val="22"/>
                <w:u w:val="single"/>
                <w:shd w:val="clear" w:color="auto" w:fill="FFFFFF"/>
              </w:rPr>
            </w:pPr>
            <w:r w:rsidRPr="002F4271">
              <w:rPr>
                <w:b w:val="0"/>
                <w:sz w:val="22"/>
              </w:rPr>
              <w:t>У разі набуття статусу платника податку на додану вартість, Споживач зобов'язаний повідомити Постачальника протягом 10 робочих днів,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шляхом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направлення письмового повідомлення та копії документів, що підтверджують статус платника податку(витяг з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реєстру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платників ПДВ/Свідоцтва платника ПДВ) на юридичну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 xml:space="preserve">адресу Постачальника, з одночасним направленням </w:t>
            </w:r>
            <w:proofErr w:type="spellStart"/>
            <w:r w:rsidRPr="002F4271">
              <w:rPr>
                <w:b w:val="0"/>
                <w:sz w:val="22"/>
              </w:rPr>
              <w:t>скан-копій</w:t>
            </w:r>
            <w:proofErr w:type="spellEnd"/>
            <w:r w:rsidRPr="002F4271">
              <w:rPr>
                <w:b w:val="0"/>
                <w:sz w:val="22"/>
              </w:rPr>
              <w:t xml:space="preserve"> документів на електронну адресу</w:t>
            </w:r>
            <w:r w:rsidR="002F4271">
              <w:rPr>
                <w:b w:val="0"/>
                <w:sz w:val="22"/>
              </w:rPr>
              <w:t xml:space="preserve">: </w:t>
            </w:r>
            <w:hyperlink r:id="rId5" w:history="1">
              <w:r w:rsidR="000446BB" w:rsidRPr="003E1A8D">
                <w:rPr>
                  <w:rStyle w:val="a8"/>
                  <w:b w:val="0"/>
                  <w:sz w:val="22"/>
                  <w:szCs w:val="22"/>
                  <w:shd w:val="clear" w:color="auto" w:fill="FFFFFF"/>
                </w:rPr>
                <w:t>krokwood.logistic@gmail.com</w:t>
              </w:r>
            </w:hyperlink>
          </w:p>
          <w:p w:rsidR="004D0D70" w:rsidRPr="000446BB" w:rsidRDefault="000E0C8D" w:rsidP="000446BB">
            <w:pPr>
              <w:pStyle w:val="Heading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color w:val="000000"/>
                <w:spacing w:val="-6"/>
              </w:rPr>
            </w:pPr>
            <w:r w:rsidRPr="000446BB">
              <w:rPr>
                <w:b w:val="0"/>
                <w:sz w:val="22"/>
              </w:rPr>
              <w:t>У разі не повідомлення Споживачем Постачальника про набуття статусу</w:t>
            </w:r>
            <w:r w:rsidR="002F4271" w:rsidRPr="000446BB">
              <w:rPr>
                <w:b w:val="0"/>
              </w:rPr>
              <w:t xml:space="preserve"> </w:t>
            </w:r>
            <w:r w:rsidRPr="000446BB">
              <w:rPr>
                <w:b w:val="0"/>
                <w:sz w:val="22"/>
              </w:rPr>
              <w:t xml:space="preserve">платника ПДВ, </w:t>
            </w:r>
            <w:r w:rsidRPr="000446BB">
              <w:rPr>
                <w:b w:val="0"/>
                <w:sz w:val="22"/>
                <w:u w:val="single"/>
              </w:rPr>
              <w:t>Споживач не має права вимагати реєстрації податкової накладної додати</w:t>
            </w:r>
            <w:r w:rsidR="002F4271" w:rsidRPr="000446BB">
              <w:rPr>
                <w:b w:val="0"/>
                <w:u w:val="single"/>
              </w:rPr>
              <w:t xml:space="preserve"> </w:t>
            </w:r>
            <w:r w:rsidRPr="000446BB">
              <w:rPr>
                <w:b w:val="0"/>
                <w:sz w:val="22"/>
                <w:u w:val="single"/>
              </w:rPr>
              <w:t>надання документів, які підтверджують статус платника податку на додану вартість.</w:t>
            </w:r>
          </w:p>
        </w:tc>
      </w:tr>
      <w:tr w:rsidR="004D0D70">
        <w:trPr>
          <w:trHeight w:val="3797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5"/>
            </w:pPr>
          </w:p>
          <w:p w:rsidR="004D0D70" w:rsidRDefault="000E0C8D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</w:rPr>
              <w:t xml:space="preserve">18. </w:t>
            </w:r>
            <w:r>
              <w:rPr>
                <w:b/>
                <w:i/>
                <w:spacing w:val="-2"/>
              </w:rPr>
              <w:t>Інформування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  <w:jc w:val="both"/>
            </w:pPr>
            <w:r>
              <w:t>Дана</w:t>
            </w:r>
            <w:r w:rsidR="002F4271">
              <w:t xml:space="preserve"> </w:t>
            </w:r>
            <w:r>
              <w:t>комерційна</w:t>
            </w:r>
            <w:r w:rsidR="002F4271">
              <w:t xml:space="preserve"> </w:t>
            </w:r>
            <w:r>
              <w:t>пропозиція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публічною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невід’ємною</w:t>
            </w:r>
            <w:r w:rsidR="002F4271">
              <w:t xml:space="preserve"> </w:t>
            </w:r>
            <w:r>
              <w:t>частиною</w:t>
            </w:r>
            <w:r w:rsidR="002F4271">
              <w:t xml:space="preserve"> </w:t>
            </w:r>
            <w:r>
              <w:rPr>
                <w:spacing w:val="-2"/>
              </w:rPr>
              <w:t>Договору.</w:t>
            </w:r>
          </w:p>
          <w:p w:rsidR="004D0D70" w:rsidRDefault="000E0C8D">
            <w:pPr>
              <w:pStyle w:val="TableParagraph"/>
              <w:ind w:left="110" w:right="105"/>
              <w:jc w:val="both"/>
            </w:pPr>
            <w:r>
              <w:t xml:space="preserve">У разі обрання іншої комерційної пропозиції, Споживач письмово повідомляє про це </w:t>
            </w:r>
            <w:r>
              <w:rPr>
                <w:spacing w:val="-2"/>
              </w:rPr>
              <w:t>Постачальника.</w:t>
            </w:r>
          </w:p>
          <w:p w:rsidR="004D0D70" w:rsidRDefault="000E0C8D">
            <w:pPr>
              <w:pStyle w:val="TableParagraph"/>
              <w:spacing w:before="1" w:line="242" w:lineRule="auto"/>
              <w:ind w:left="110" w:right="94"/>
              <w:jc w:val="both"/>
            </w:pPr>
            <w: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:rsidR="004D0D70" w:rsidRDefault="000E0C8D">
            <w:pPr>
              <w:pStyle w:val="TableParagraph"/>
              <w:ind w:left="110" w:right="94"/>
              <w:jc w:val="both"/>
            </w:pPr>
            <w: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</w:t>
            </w:r>
            <w:r w:rsidR="002F4271">
              <w:t xml:space="preserve"> </w:t>
            </w:r>
            <w:r>
              <w:t>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:rsidR="004D0D70" w:rsidRDefault="000E0C8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0" w:lineRule="exact"/>
              <w:ind w:left="239" w:hanging="129"/>
              <w:jc w:val="both"/>
            </w:pPr>
            <w:r>
              <w:t>на</w:t>
            </w:r>
            <w:r w:rsidR="002F4271">
              <w:t xml:space="preserve"> </w:t>
            </w:r>
            <w:r>
              <w:t>офіційному</w:t>
            </w:r>
            <w:r w:rsidR="002F4271">
              <w:t xml:space="preserve"> </w:t>
            </w:r>
            <w:r>
              <w:t>сайті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у</w:t>
            </w:r>
            <w:r w:rsidR="002F4271">
              <w:t xml:space="preserve"> </w:t>
            </w:r>
            <w:r>
              <w:t>мережі</w:t>
            </w:r>
            <w:r w:rsidR="002F4271">
              <w:t xml:space="preserve"> </w:t>
            </w:r>
            <w:r>
              <w:rPr>
                <w:spacing w:val="-2"/>
              </w:rPr>
              <w:t>Інтернет;</w:t>
            </w:r>
          </w:p>
          <w:p w:rsidR="004D0D70" w:rsidRDefault="000E0C8D" w:rsidP="002F427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91" w:firstLine="0"/>
              <w:jc w:val="both"/>
            </w:pPr>
            <w:r>
              <w:t>засобами електронного зв'язку на електронну адресу, вказану у заяві-приєднання до умов Договору</w:t>
            </w:r>
          </w:p>
        </w:tc>
      </w:tr>
    </w:tbl>
    <w:p w:rsidR="004D0D70" w:rsidRDefault="004D0D70">
      <w:pPr>
        <w:pStyle w:val="a3"/>
        <w:rPr>
          <w:sz w:val="24"/>
        </w:rPr>
      </w:pPr>
    </w:p>
    <w:p w:rsidR="004D0D70" w:rsidRDefault="004D0D70">
      <w:pPr>
        <w:pStyle w:val="a3"/>
        <w:spacing w:before="275"/>
        <w:rPr>
          <w:sz w:val="24"/>
        </w:rPr>
      </w:pPr>
    </w:p>
    <w:p w:rsidR="004D0D70" w:rsidRDefault="000E0C8D">
      <w:pPr>
        <w:ind w:left="532"/>
        <w:jc w:val="center"/>
        <w:rPr>
          <w:b/>
          <w:i/>
          <w:sz w:val="24"/>
        </w:rPr>
      </w:pPr>
      <w:r>
        <w:rPr>
          <w:b/>
          <w:i/>
          <w:sz w:val="24"/>
        </w:rPr>
        <w:t>Відмітка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підписання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Споживачем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Комерційної</w:t>
      </w:r>
      <w:r w:rsidR="002F427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пропозиції:</w:t>
      </w:r>
    </w:p>
    <w:p w:rsidR="004D0D70" w:rsidRDefault="004D0D70">
      <w:pPr>
        <w:pStyle w:val="a3"/>
        <w:rPr>
          <w:b/>
          <w:i/>
          <w:sz w:val="20"/>
        </w:rPr>
      </w:pPr>
    </w:p>
    <w:p w:rsidR="004D0D70" w:rsidRDefault="00E34AF7">
      <w:pPr>
        <w:pStyle w:val="a3"/>
        <w:spacing w:before="32"/>
        <w:rPr>
          <w:b/>
          <w:i/>
          <w:sz w:val="20"/>
        </w:rPr>
      </w:pPr>
      <w:r w:rsidRPr="00E34AF7">
        <w:pict>
          <v:shape id="docshape3" o:spid="_x0000_s1028" style="position:absolute;margin-left:84.5pt;margin-top:14.35pt;width:90pt;height:.1pt;z-index:-15728128;mso-wrap-distance-left:0;mso-wrap-distance-right:0;mso-position-horizontal-relative:page" coordorigin="1690,287" coordsize="1800,0" path="m1690,287r1800,e" filled="f" strokeweight=".48pt">
            <v:path arrowok="t"/>
            <w10:wrap type="topAndBottom" anchorx="page"/>
          </v:shape>
        </w:pict>
      </w:r>
      <w:r w:rsidRPr="00E34AF7">
        <w:pict>
          <v:shape id="docshape4" o:spid="_x0000_s1027" style="position:absolute;margin-left:186.5pt;margin-top:14.35pt;width:114pt;height:.1pt;z-index:-15727616;mso-wrap-distance-left:0;mso-wrap-distance-right:0;mso-position-horizontal-relative:page" coordorigin="3730,287" coordsize="2280,0" path="m3730,287r2280,e" filled="f" strokeweight=".48pt">
            <v:path arrowok="t"/>
            <w10:wrap type="topAndBottom" anchorx="page"/>
          </v:shape>
        </w:pict>
      </w:r>
      <w:r w:rsidRPr="00E34AF7">
        <w:pict>
          <v:shape id="docshape5" o:spid="_x0000_s1026" style="position:absolute;margin-left:315.5pt;margin-top:14.35pt;width:252pt;height:.1pt;z-index:-15727104;mso-wrap-distance-left:0;mso-wrap-distance-right:0;mso-position-horizontal-relative:page" coordorigin="6310,287" coordsize="5040,0" path="m6310,287r5040,e" filled="f" strokeweight=".48pt">
            <v:path arrowok="t"/>
            <w10:wrap type="topAndBottom" anchorx="page"/>
          </v:shape>
        </w:pict>
      </w:r>
    </w:p>
    <w:p w:rsidR="004D0D70" w:rsidRDefault="000E0C8D">
      <w:pPr>
        <w:tabs>
          <w:tab w:val="left" w:pos="2723"/>
          <w:tab w:val="left" w:pos="5176"/>
        </w:tabs>
        <w:ind w:left="610"/>
        <w:jc w:val="center"/>
        <w:rPr>
          <w:sz w:val="20"/>
        </w:rPr>
      </w:pPr>
      <w:r>
        <w:rPr>
          <w:sz w:val="20"/>
        </w:rPr>
        <w:t>(дата</w:t>
      </w:r>
      <w:r w:rsidR="000446BB">
        <w:rPr>
          <w:sz w:val="20"/>
        </w:rPr>
        <w:t xml:space="preserve"> </w:t>
      </w:r>
      <w:r>
        <w:rPr>
          <w:spacing w:val="-2"/>
          <w:sz w:val="20"/>
        </w:rPr>
        <w:t>підписання)</w:t>
      </w:r>
      <w:r>
        <w:rPr>
          <w:sz w:val="20"/>
        </w:rPr>
        <w:tab/>
      </w:r>
      <w:r>
        <w:rPr>
          <w:spacing w:val="-2"/>
          <w:sz w:val="20"/>
        </w:rPr>
        <w:t>(особистий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підпис,</w:t>
      </w:r>
      <w:r>
        <w:rPr>
          <w:spacing w:val="-4"/>
          <w:sz w:val="20"/>
        </w:rPr>
        <w:t>М.П.)</w:t>
      </w:r>
      <w:r>
        <w:rPr>
          <w:sz w:val="20"/>
        </w:rPr>
        <w:tab/>
      </w:r>
      <w:r>
        <w:rPr>
          <w:spacing w:val="-2"/>
          <w:sz w:val="20"/>
        </w:rPr>
        <w:t>(П.І.</w:t>
      </w:r>
      <w:proofErr w:type="spellStart"/>
      <w:r>
        <w:rPr>
          <w:spacing w:val="-2"/>
          <w:sz w:val="20"/>
        </w:rPr>
        <w:t>Б.уповноваженого</w:t>
      </w:r>
      <w:proofErr w:type="spellEnd"/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представника/назва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Споживача)</w:t>
      </w:r>
    </w:p>
    <w:sectPr w:rsidR="004D0D70" w:rsidSect="004D0D70">
      <w:type w:val="continuous"/>
      <w:pgSz w:w="11910" w:h="16840"/>
      <w:pgMar w:top="800" w:right="4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2D36"/>
    <w:multiLevelType w:val="hybridMultilevel"/>
    <w:tmpl w:val="75BACA06"/>
    <w:lvl w:ilvl="0" w:tplc="032CE778">
      <w:numFmt w:val="bullet"/>
      <w:lvlText w:val="□"/>
      <w:lvlJc w:val="left"/>
      <w:pPr>
        <w:ind w:left="3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ACD4C8F6">
      <w:numFmt w:val="bullet"/>
      <w:lvlText w:val="•"/>
      <w:lvlJc w:val="left"/>
      <w:pPr>
        <w:ind w:left="1156" w:hanging="226"/>
      </w:pPr>
      <w:rPr>
        <w:rFonts w:hint="default"/>
        <w:lang w:val="uk-UA" w:eastAsia="en-US" w:bidi="ar-SA"/>
      </w:rPr>
    </w:lvl>
    <w:lvl w:ilvl="2" w:tplc="15F491F6">
      <w:numFmt w:val="bullet"/>
      <w:lvlText w:val="•"/>
      <w:lvlJc w:val="left"/>
      <w:pPr>
        <w:ind w:left="1973" w:hanging="226"/>
      </w:pPr>
      <w:rPr>
        <w:rFonts w:hint="default"/>
        <w:lang w:val="uk-UA" w:eastAsia="en-US" w:bidi="ar-SA"/>
      </w:rPr>
    </w:lvl>
    <w:lvl w:ilvl="3" w:tplc="24FE7324">
      <w:numFmt w:val="bullet"/>
      <w:lvlText w:val="•"/>
      <w:lvlJc w:val="left"/>
      <w:pPr>
        <w:ind w:left="2790" w:hanging="226"/>
      </w:pPr>
      <w:rPr>
        <w:rFonts w:hint="default"/>
        <w:lang w:val="uk-UA" w:eastAsia="en-US" w:bidi="ar-SA"/>
      </w:rPr>
    </w:lvl>
    <w:lvl w:ilvl="4" w:tplc="8C4A89AC">
      <w:numFmt w:val="bullet"/>
      <w:lvlText w:val="•"/>
      <w:lvlJc w:val="left"/>
      <w:pPr>
        <w:ind w:left="3607" w:hanging="226"/>
      </w:pPr>
      <w:rPr>
        <w:rFonts w:hint="default"/>
        <w:lang w:val="uk-UA" w:eastAsia="en-US" w:bidi="ar-SA"/>
      </w:rPr>
    </w:lvl>
    <w:lvl w:ilvl="5" w:tplc="0A501336">
      <w:numFmt w:val="bullet"/>
      <w:lvlText w:val="•"/>
      <w:lvlJc w:val="left"/>
      <w:pPr>
        <w:ind w:left="4424" w:hanging="226"/>
      </w:pPr>
      <w:rPr>
        <w:rFonts w:hint="default"/>
        <w:lang w:val="uk-UA" w:eastAsia="en-US" w:bidi="ar-SA"/>
      </w:rPr>
    </w:lvl>
    <w:lvl w:ilvl="6" w:tplc="4BDCA598">
      <w:numFmt w:val="bullet"/>
      <w:lvlText w:val="•"/>
      <w:lvlJc w:val="left"/>
      <w:pPr>
        <w:ind w:left="5241" w:hanging="226"/>
      </w:pPr>
      <w:rPr>
        <w:rFonts w:hint="default"/>
        <w:lang w:val="uk-UA" w:eastAsia="en-US" w:bidi="ar-SA"/>
      </w:rPr>
    </w:lvl>
    <w:lvl w:ilvl="7" w:tplc="402EAE5E">
      <w:numFmt w:val="bullet"/>
      <w:lvlText w:val="•"/>
      <w:lvlJc w:val="left"/>
      <w:pPr>
        <w:ind w:left="6058" w:hanging="226"/>
      </w:pPr>
      <w:rPr>
        <w:rFonts w:hint="default"/>
        <w:lang w:val="uk-UA" w:eastAsia="en-US" w:bidi="ar-SA"/>
      </w:rPr>
    </w:lvl>
    <w:lvl w:ilvl="8" w:tplc="FF3C3932">
      <w:numFmt w:val="bullet"/>
      <w:lvlText w:val="•"/>
      <w:lvlJc w:val="left"/>
      <w:pPr>
        <w:ind w:left="6875" w:hanging="226"/>
      </w:pPr>
      <w:rPr>
        <w:rFonts w:hint="default"/>
        <w:lang w:val="uk-UA" w:eastAsia="en-US" w:bidi="ar-SA"/>
      </w:rPr>
    </w:lvl>
  </w:abstractNum>
  <w:abstractNum w:abstractNumId="1">
    <w:nsid w:val="460028CA"/>
    <w:multiLevelType w:val="hybridMultilevel"/>
    <w:tmpl w:val="292E45F2"/>
    <w:lvl w:ilvl="0" w:tplc="D86C45CA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10A3B00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2" w:tplc="C4F0A69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3" w:tplc="67EC4E9E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5BF676BC">
      <w:numFmt w:val="bullet"/>
      <w:lvlText w:val="•"/>
      <w:lvlJc w:val="left"/>
      <w:pPr>
        <w:ind w:left="3907" w:hanging="360"/>
      </w:pPr>
      <w:rPr>
        <w:rFonts w:hint="default"/>
        <w:lang w:val="uk-UA" w:eastAsia="en-US" w:bidi="ar-SA"/>
      </w:rPr>
    </w:lvl>
    <w:lvl w:ilvl="5" w:tplc="6E924F66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6" w:tplc="57BEA82C">
      <w:numFmt w:val="bullet"/>
      <w:lvlText w:val="•"/>
      <w:lvlJc w:val="left"/>
      <w:pPr>
        <w:ind w:left="5441" w:hanging="360"/>
      </w:pPr>
      <w:rPr>
        <w:rFonts w:hint="default"/>
        <w:lang w:val="uk-UA" w:eastAsia="en-US" w:bidi="ar-SA"/>
      </w:rPr>
    </w:lvl>
    <w:lvl w:ilvl="7" w:tplc="47E80A1A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8" w:tplc="E710CFB8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</w:abstractNum>
  <w:abstractNum w:abstractNumId="2">
    <w:nsid w:val="49DD6231"/>
    <w:multiLevelType w:val="hybridMultilevel"/>
    <w:tmpl w:val="8A184142"/>
    <w:lvl w:ilvl="0" w:tplc="E7C4E3A0">
      <w:numFmt w:val="bullet"/>
      <w:lvlText w:val=""/>
      <w:lvlJc w:val="left"/>
      <w:pPr>
        <w:ind w:left="1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B9EA394">
      <w:numFmt w:val="bullet"/>
      <w:lvlText w:val="•"/>
      <w:lvlJc w:val="left"/>
      <w:pPr>
        <w:ind w:left="1180" w:hanging="567"/>
      </w:pPr>
      <w:rPr>
        <w:rFonts w:hint="default"/>
        <w:lang w:val="uk-UA" w:eastAsia="en-US" w:bidi="ar-SA"/>
      </w:rPr>
    </w:lvl>
    <w:lvl w:ilvl="2" w:tplc="CCE892E2">
      <w:numFmt w:val="bullet"/>
      <w:lvlText w:val="•"/>
      <w:lvlJc w:val="left"/>
      <w:pPr>
        <w:ind w:left="2241" w:hanging="567"/>
      </w:pPr>
      <w:rPr>
        <w:rFonts w:hint="default"/>
        <w:lang w:val="uk-UA" w:eastAsia="en-US" w:bidi="ar-SA"/>
      </w:rPr>
    </w:lvl>
    <w:lvl w:ilvl="3" w:tplc="8C729490">
      <w:numFmt w:val="bullet"/>
      <w:lvlText w:val="•"/>
      <w:lvlJc w:val="left"/>
      <w:pPr>
        <w:ind w:left="3302" w:hanging="567"/>
      </w:pPr>
      <w:rPr>
        <w:rFonts w:hint="default"/>
        <w:lang w:val="uk-UA" w:eastAsia="en-US" w:bidi="ar-SA"/>
      </w:rPr>
    </w:lvl>
    <w:lvl w:ilvl="4" w:tplc="DC44994C">
      <w:numFmt w:val="bullet"/>
      <w:lvlText w:val="•"/>
      <w:lvlJc w:val="left"/>
      <w:pPr>
        <w:ind w:left="4363" w:hanging="567"/>
      </w:pPr>
      <w:rPr>
        <w:rFonts w:hint="default"/>
        <w:lang w:val="uk-UA" w:eastAsia="en-US" w:bidi="ar-SA"/>
      </w:rPr>
    </w:lvl>
    <w:lvl w:ilvl="5" w:tplc="5D68EDA2">
      <w:numFmt w:val="bullet"/>
      <w:lvlText w:val="•"/>
      <w:lvlJc w:val="left"/>
      <w:pPr>
        <w:ind w:left="5424" w:hanging="567"/>
      </w:pPr>
      <w:rPr>
        <w:rFonts w:hint="default"/>
        <w:lang w:val="uk-UA" w:eastAsia="en-US" w:bidi="ar-SA"/>
      </w:rPr>
    </w:lvl>
    <w:lvl w:ilvl="6" w:tplc="E9BEDDE8">
      <w:numFmt w:val="bullet"/>
      <w:lvlText w:val="•"/>
      <w:lvlJc w:val="left"/>
      <w:pPr>
        <w:ind w:left="6485" w:hanging="567"/>
      </w:pPr>
      <w:rPr>
        <w:rFonts w:hint="default"/>
        <w:lang w:val="uk-UA" w:eastAsia="en-US" w:bidi="ar-SA"/>
      </w:rPr>
    </w:lvl>
    <w:lvl w:ilvl="7" w:tplc="C6DC68E6">
      <w:numFmt w:val="bullet"/>
      <w:lvlText w:val="•"/>
      <w:lvlJc w:val="left"/>
      <w:pPr>
        <w:ind w:left="7546" w:hanging="567"/>
      </w:pPr>
      <w:rPr>
        <w:rFonts w:hint="default"/>
        <w:lang w:val="uk-UA" w:eastAsia="en-US" w:bidi="ar-SA"/>
      </w:rPr>
    </w:lvl>
    <w:lvl w:ilvl="8" w:tplc="A458350A">
      <w:numFmt w:val="bullet"/>
      <w:lvlText w:val="•"/>
      <w:lvlJc w:val="left"/>
      <w:pPr>
        <w:ind w:left="8607" w:hanging="567"/>
      </w:pPr>
      <w:rPr>
        <w:rFonts w:hint="default"/>
        <w:lang w:val="uk-UA" w:eastAsia="en-US" w:bidi="ar-SA"/>
      </w:rPr>
    </w:lvl>
  </w:abstractNum>
  <w:abstractNum w:abstractNumId="3">
    <w:nsid w:val="67667BA5"/>
    <w:multiLevelType w:val="hybridMultilevel"/>
    <w:tmpl w:val="65A28100"/>
    <w:lvl w:ilvl="0" w:tplc="4BCC54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B6E2126">
      <w:numFmt w:val="bullet"/>
      <w:lvlText w:val="•"/>
      <w:lvlJc w:val="left"/>
      <w:pPr>
        <w:ind w:left="958" w:hanging="130"/>
      </w:pPr>
      <w:rPr>
        <w:rFonts w:hint="default"/>
        <w:lang w:val="uk-UA" w:eastAsia="en-US" w:bidi="ar-SA"/>
      </w:rPr>
    </w:lvl>
    <w:lvl w:ilvl="2" w:tplc="09B84A0E">
      <w:numFmt w:val="bullet"/>
      <w:lvlText w:val="•"/>
      <w:lvlJc w:val="left"/>
      <w:pPr>
        <w:ind w:left="1797" w:hanging="130"/>
      </w:pPr>
      <w:rPr>
        <w:rFonts w:hint="default"/>
        <w:lang w:val="uk-UA" w:eastAsia="en-US" w:bidi="ar-SA"/>
      </w:rPr>
    </w:lvl>
    <w:lvl w:ilvl="3" w:tplc="573644BC">
      <w:numFmt w:val="bullet"/>
      <w:lvlText w:val="•"/>
      <w:lvlJc w:val="left"/>
      <w:pPr>
        <w:ind w:left="2636" w:hanging="130"/>
      </w:pPr>
      <w:rPr>
        <w:rFonts w:hint="default"/>
        <w:lang w:val="uk-UA" w:eastAsia="en-US" w:bidi="ar-SA"/>
      </w:rPr>
    </w:lvl>
    <w:lvl w:ilvl="4" w:tplc="6302CF7C">
      <w:numFmt w:val="bullet"/>
      <w:lvlText w:val="•"/>
      <w:lvlJc w:val="left"/>
      <w:pPr>
        <w:ind w:left="3475" w:hanging="130"/>
      </w:pPr>
      <w:rPr>
        <w:rFonts w:hint="default"/>
        <w:lang w:val="uk-UA" w:eastAsia="en-US" w:bidi="ar-SA"/>
      </w:rPr>
    </w:lvl>
    <w:lvl w:ilvl="5" w:tplc="5A468A2E">
      <w:numFmt w:val="bullet"/>
      <w:lvlText w:val="•"/>
      <w:lvlJc w:val="left"/>
      <w:pPr>
        <w:ind w:left="4314" w:hanging="130"/>
      </w:pPr>
      <w:rPr>
        <w:rFonts w:hint="default"/>
        <w:lang w:val="uk-UA" w:eastAsia="en-US" w:bidi="ar-SA"/>
      </w:rPr>
    </w:lvl>
    <w:lvl w:ilvl="6" w:tplc="9AE8541C">
      <w:numFmt w:val="bullet"/>
      <w:lvlText w:val="•"/>
      <w:lvlJc w:val="left"/>
      <w:pPr>
        <w:ind w:left="5153" w:hanging="130"/>
      </w:pPr>
      <w:rPr>
        <w:rFonts w:hint="default"/>
        <w:lang w:val="uk-UA" w:eastAsia="en-US" w:bidi="ar-SA"/>
      </w:rPr>
    </w:lvl>
    <w:lvl w:ilvl="7" w:tplc="13ECC242">
      <w:numFmt w:val="bullet"/>
      <w:lvlText w:val="•"/>
      <w:lvlJc w:val="left"/>
      <w:pPr>
        <w:ind w:left="5992" w:hanging="130"/>
      </w:pPr>
      <w:rPr>
        <w:rFonts w:hint="default"/>
        <w:lang w:val="uk-UA" w:eastAsia="en-US" w:bidi="ar-SA"/>
      </w:rPr>
    </w:lvl>
    <w:lvl w:ilvl="8" w:tplc="03B2FDCE">
      <w:numFmt w:val="bullet"/>
      <w:lvlText w:val="•"/>
      <w:lvlJc w:val="left"/>
      <w:pPr>
        <w:ind w:left="6831" w:hanging="1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0D70"/>
    <w:rsid w:val="000446BB"/>
    <w:rsid w:val="000E0C8D"/>
    <w:rsid w:val="002F4271"/>
    <w:rsid w:val="003F3BAC"/>
    <w:rsid w:val="0043391D"/>
    <w:rsid w:val="004534EE"/>
    <w:rsid w:val="004D0D70"/>
    <w:rsid w:val="00E34AF7"/>
    <w:rsid w:val="00F3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D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D70"/>
  </w:style>
  <w:style w:type="paragraph" w:styleId="a4">
    <w:name w:val="Title"/>
    <w:basedOn w:val="a"/>
    <w:uiPriority w:val="1"/>
    <w:qFormat/>
    <w:rsid w:val="004D0D70"/>
    <w:pPr>
      <w:ind w:left="4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0D70"/>
    <w:pPr>
      <w:spacing w:before="2"/>
      <w:ind w:left="11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D0D70"/>
  </w:style>
  <w:style w:type="paragraph" w:styleId="a6">
    <w:name w:val="Balloon Text"/>
    <w:basedOn w:val="a"/>
    <w:link w:val="a7"/>
    <w:uiPriority w:val="99"/>
    <w:semiHidden/>
    <w:unhideWhenUsed/>
    <w:rsid w:val="00F33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D1"/>
    <w:rPr>
      <w:rFonts w:ascii="Tahoma" w:eastAsia="Times New Roman" w:hAnsi="Tahoma" w:cs="Tahoma"/>
      <w:sz w:val="16"/>
      <w:szCs w:val="16"/>
      <w:lang w:val="uk-UA"/>
    </w:rPr>
  </w:style>
  <w:style w:type="paragraph" w:customStyle="1" w:styleId="Heading1">
    <w:name w:val="Heading 1"/>
    <w:basedOn w:val="a"/>
    <w:uiPriority w:val="1"/>
    <w:qFormat/>
    <w:rsid w:val="002F4271"/>
    <w:pPr>
      <w:spacing w:before="90"/>
      <w:ind w:left="198"/>
      <w:outlineLvl w:val="1"/>
    </w:pPr>
    <w:rPr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044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kwood.logist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Мошкина</dc:creator>
  <cp:lastModifiedBy>IvanBobal</cp:lastModifiedBy>
  <cp:revision>5</cp:revision>
  <dcterms:created xsi:type="dcterms:W3CDTF">2023-11-23T16:15:00Z</dcterms:created>
  <dcterms:modified xsi:type="dcterms:W3CDTF">2023-11-24T07:41:00Z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www.ilovepdf.com</vt:lpwstr>
  </property>
</Properties>
</file>