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F5DE" w14:textId="77777777" w:rsidR="00EC7225" w:rsidRPr="00EF4990" w:rsidRDefault="00DE6DFC" w:rsidP="00EC7225">
      <w:pPr>
        <w:pStyle w:val="Ch67"/>
        <w:pageBreakBefore/>
        <w:rPr>
          <w:rFonts w:ascii="Times New Roman" w:hAnsi="Times New Roman" w:cs="Times New Roman"/>
          <w:b w:val="0"/>
          <w:w w:val="100"/>
          <w:sz w:val="28"/>
          <w:szCs w:val="28"/>
        </w:rPr>
      </w:pPr>
      <w:bookmarkStart w:id="0" w:name="_GoBack"/>
      <w:bookmarkEnd w:id="0"/>
      <w:r w:rsidRPr="00EF4990">
        <w:rPr>
          <w:rFonts w:ascii="Times New Roman" w:hAnsi="Times New Roman" w:cs="Times New Roman"/>
          <w:w w:val="100"/>
          <w:sz w:val="28"/>
          <w:szCs w:val="28"/>
        </w:rPr>
        <w:t xml:space="preserve">РЕКОМЕНДОВАНИЙ </w:t>
      </w:r>
      <w:r w:rsidR="00D651CB" w:rsidRPr="00EF4990">
        <w:rPr>
          <w:rFonts w:ascii="Times New Roman" w:hAnsi="Times New Roman" w:cs="Times New Roman"/>
          <w:w w:val="100"/>
          <w:sz w:val="28"/>
          <w:szCs w:val="28"/>
        </w:rPr>
        <w:t>ПЕРЕЛІК</w:t>
      </w:r>
      <w:r w:rsidR="00D651CB" w:rsidRPr="00EF4990">
        <w:rPr>
          <w:rFonts w:ascii="Times New Roman" w:hAnsi="Times New Roman" w:cs="Times New Roman"/>
          <w:w w:val="100"/>
          <w:sz w:val="28"/>
          <w:szCs w:val="28"/>
        </w:rPr>
        <w:br/>
        <w:t xml:space="preserve">питань </w:t>
      </w:r>
      <w:r w:rsidR="007F26A9" w:rsidRPr="00EF4990">
        <w:rPr>
          <w:rFonts w:ascii="Times New Roman" w:hAnsi="Times New Roman" w:cs="Times New Roman"/>
          <w:w w:val="100"/>
          <w:sz w:val="28"/>
          <w:szCs w:val="28"/>
        </w:rPr>
        <w:t>для проведення</w:t>
      </w:r>
      <w:r w:rsidR="00EC7225" w:rsidRPr="00EF4990">
        <w:rPr>
          <w:rFonts w:ascii="Times New Roman" w:hAnsi="Times New Roman" w:cs="Times New Roman"/>
          <w:w w:val="100"/>
          <w:sz w:val="28"/>
          <w:szCs w:val="28"/>
        </w:rPr>
        <w:t xml:space="preserve"> оператор</w:t>
      </w:r>
      <w:r w:rsidR="0045727A" w:rsidRPr="00EF4990">
        <w:rPr>
          <w:rFonts w:ascii="Times New Roman" w:hAnsi="Times New Roman" w:cs="Times New Roman"/>
          <w:w w:val="100"/>
          <w:sz w:val="28"/>
          <w:szCs w:val="28"/>
        </w:rPr>
        <w:t>ами</w:t>
      </w:r>
      <w:r w:rsidR="00EC7225" w:rsidRPr="00EF4990">
        <w:rPr>
          <w:rFonts w:ascii="Times New Roman" w:hAnsi="Times New Roman" w:cs="Times New Roman"/>
          <w:w w:val="100"/>
          <w:sz w:val="28"/>
          <w:szCs w:val="28"/>
        </w:rPr>
        <w:t xml:space="preserve"> ринку</w:t>
      </w:r>
      <w:r w:rsidR="007F26A9" w:rsidRPr="00EF499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EC7225" w:rsidRPr="00EF4990">
        <w:rPr>
          <w:rFonts w:ascii="Times New Roman" w:hAnsi="Times New Roman" w:cs="Times New Roman"/>
          <w:w w:val="100"/>
          <w:sz w:val="28"/>
          <w:szCs w:val="28"/>
        </w:rPr>
        <w:t xml:space="preserve">самостійної </w:t>
      </w:r>
      <w:r w:rsidR="007F26A9" w:rsidRPr="00EF4990">
        <w:rPr>
          <w:rFonts w:ascii="Times New Roman" w:hAnsi="Times New Roman" w:cs="Times New Roman"/>
          <w:w w:val="100"/>
          <w:sz w:val="28"/>
          <w:szCs w:val="28"/>
        </w:rPr>
        <w:t>перевірки впровадження процедур, зас</w:t>
      </w:r>
      <w:r w:rsidR="0045727A" w:rsidRPr="00EF4990">
        <w:rPr>
          <w:rFonts w:ascii="Times New Roman" w:hAnsi="Times New Roman" w:cs="Times New Roman"/>
          <w:w w:val="100"/>
          <w:sz w:val="28"/>
          <w:szCs w:val="28"/>
        </w:rPr>
        <w:t>н</w:t>
      </w:r>
      <w:r w:rsidR="007F26A9" w:rsidRPr="00EF4990">
        <w:rPr>
          <w:rFonts w:ascii="Times New Roman" w:hAnsi="Times New Roman" w:cs="Times New Roman"/>
          <w:w w:val="100"/>
          <w:sz w:val="28"/>
          <w:szCs w:val="28"/>
        </w:rPr>
        <w:t>ованих на принципах системи НАССР</w:t>
      </w:r>
      <w:r w:rsidR="0045727A" w:rsidRPr="00EF4990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7F26A9" w:rsidRPr="00EF4990">
        <w:rPr>
          <w:rFonts w:ascii="Times New Roman" w:hAnsi="Times New Roman" w:cs="Times New Roman"/>
          <w:sz w:val="28"/>
          <w:szCs w:val="28"/>
        </w:rPr>
        <w:t>у школах та</w:t>
      </w:r>
      <w:r w:rsidRPr="00EF4990">
        <w:rPr>
          <w:rFonts w:ascii="Times New Roman" w:hAnsi="Times New Roman" w:cs="Times New Roman"/>
          <w:sz w:val="28"/>
          <w:szCs w:val="28"/>
        </w:rPr>
        <w:t xml:space="preserve"> дошкільних навчальних закладах</w:t>
      </w:r>
    </w:p>
    <w:tbl>
      <w:tblPr>
        <w:tblW w:w="583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961"/>
        <w:gridCol w:w="4114"/>
        <w:gridCol w:w="1601"/>
        <w:gridCol w:w="534"/>
        <w:gridCol w:w="666"/>
        <w:gridCol w:w="1153"/>
        <w:gridCol w:w="1758"/>
        <w:gridCol w:w="1319"/>
        <w:gridCol w:w="1034"/>
      </w:tblGrid>
      <w:tr w:rsidR="00B12EB0" w:rsidRPr="00EF4990" w14:paraId="67415A70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9C907E2" w14:textId="77777777" w:rsidR="00B12EB0" w:rsidRPr="00EF4990" w:rsidRDefault="00B12EB0" w:rsidP="00EF499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14:paraId="30406FD3" w14:textId="77777777" w:rsidR="00B12EB0" w:rsidRPr="00EF4990" w:rsidRDefault="00B12EB0" w:rsidP="00DE6DF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30EBBE8" w14:textId="77777777" w:rsidR="00B12EB0" w:rsidRDefault="00B12EB0" w:rsidP="00037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Питання Методичних н</w:t>
            </w: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астанов</w:t>
            </w:r>
            <w:r>
              <w:t xml:space="preserve"> </w:t>
            </w:r>
            <w:r w:rsidRPr="00037C06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чних точках для закладів освіти</w:t>
            </w:r>
            <w:r w:rsidRPr="007B1C2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 (далі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– Настанова)</w:t>
            </w:r>
          </w:p>
          <w:p w14:paraId="574B8D58" w14:textId="77777777" w:rsidR="00B12EB0" w:rsidRDefault="00B12EB0" w:rsidP="00037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(наказ Мінекономіки </w:t>
            </w:r>
          </w:p>
          <w:p w14:paraId="087A4F8D" w14:textId="77777777" w:rsidR="00B12EB0" w:rsidRPr="00EF4990" w:rsidRDefault="00B12EB0" w:rsidP="00037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01.12.2020 № 2489)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74A7AE2" w14:textId="77777777" w:rsidR="00B12EB0" w:rsidRPr="007B1C2D" w:rsidRDefault="00B12EB0" w:rsidP="00037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Питання Акту </w:t>
            </w:r>
            <w:r w:rsidRPr="00037C0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складений за результатами проведення заходу державного контролю у формі аудиту постійно діючих процедур, заснованих на принципах НАССР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 </w:t>
            </w:r>
          </w:p>
          <w:p w14:paraId="5F5925D0" w14:textId="77777777" w:rsidR="00B12EB0" w:rsidRDefault="00B12EB0" w:rsidP="00037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(</w:t>
            </w: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наказ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Мінагрополітики </w:t>
            </w:r>
          </w:p>
          <w:p w14:paraId="7A0C841C" w14:textId="77777777" w:rsidR="00B12EB0" w:rsidRPr="00EF4990" w:rsidRDefault="00B12EB0" w:rsidP="00037C0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 08.08.</w:t>
            </w: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2019  № 446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, далі – Наказ № 446)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D35276C" w14:textId="77777777" w:rsidR="00B12EB0" w:rsidRPr="00EF4990" w:rsidRDefault="00B12EB0" w:rsidP="000D2EF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Періодичність перевірки (візуальна, документальна тощо) виконання вимог оператором ринку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B3640D1" w14:textId="77777777" w:rsidR="00B12EB0" w:rsidRPr="00EF4990" w:rsidRDefault="00B12EB0" w:rsidP="00DE6DF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Відповіді на питання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B613897" w14:textId="77777777" w:rsidR="00B12EB0" w:rsidRPr="00EF4990" w:rsidRDefault="00B12EB0" w:rsidP="007B1C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Посилання на норму Н</w:t>
            </w: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астанов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C4C835" w14:textId="77777777" w:rsidR="00B12EB0" w:rsidRPr="00EF4990" w:rsidRDefault="00B12EB0" w:rsidP="00DE6DF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Нормативне обґрунтування</w:t>
            </w:r>
          </w:p>
        </w:tc>
      </w:tr>
      <w:tr w:rsidR="00B12EB0" w:rsidRPr="00EF4990" w14:paraId="7F444F42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77BF0" w14:textId="77777777" w:rsidR="00B12EB0" w:rsidRPr="00EF4990" w:rsidRDefault="00B12EB0" w:rsidP="0046173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A8CB0" w14:textId="77777777" w:rsidR="00B12EB0" w:rsidRPr="00EF4990" w:rsidRDefault="00B12EB0" w:rsidP="0046173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14285C" w14:textId="77777777" w:rsidR="00B12EB0" w:rsidRPr="00EF4990" w:rsidRDefault="00B12EB0" w:rsidP="0046173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5D24E4" w14:textId="77777777" w:rsidR="00B12EB0" w:rsidRPr="00EF4990" w:rsidRDefault="00B12EB0" w:rsidP="000D2EF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5D2601" w14:textId="77777777" w:rsidR="00B12EB0" w:rsidRPr="00EF4990" w:rsidRDefault="00B12EB0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так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87D2D9" w14:textId="77777777" w:rsidR="00B12EB0" w:rsidRPr="00EF4990" w:rsidRDefault="00B12EB0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ні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1B0AA8B" w14:textId="77777777" w:rsidR="00B12EB0" w:rsidRPr="00EF4990" w:rsidRDefault="00B12EB0" w:rsidP="0046173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7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B7CED" w14:textId="77777777" w:rsidR="00B12EB0" w:rsidRPr="00EF4990" w:rsidRDefault="00B12EB0" w:rsidP="0046173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F2689" w:rsidRPr="00EF4990" w14:paraId="16484F9F" w14:textId="77777777" w:rsidTr="00FB2B11">
        <w:trPr>
          <w:gridAfter w:val="2"/>
          <w:wAfter w:w="692" w:type="pct"/>
          <w:trHeight w:val="113"/>
          <w:tblHeader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A19BE5" w14:textId="77777777" w:rsidR="00066C7E" w:rsidRPr="00EF4990" w:rsidRDefault="00066C7E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A963" w14:textId="77777777" w:rsidR="00066C7E" w:rsidRPr="00EF4990" w:rsidRDefault="00DE6DFC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FD04EB" w14:textId="77777777" w:rsidR="00066C7E" w:rsidRPr="00EF4990" w:rsidRDefault="00DE6DFC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B28FEC" w14:textId="77777777" w:rsidR="00066C7E" w:rsidRPr="00EF4990" w:rsidRDefault="00DE6DFC" w:rsidP="000D2EF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4847CC" w14:textId="77777777" w:rsidR="00066C7E" w:rsidRPr="00EF4990" w:rsidRDefault="00DE6DFC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F728A3" w14:textId="77777777" w:rsidR="00066C7E" w:rsidRPr="00EF4990" w:rsidRDefault="00DE6DFC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D2A8" w14:textId="77777777" w:rsidR="00066C7E" w:rsidRPr="00EF4990" w:rsidRDefault="00DE6DFC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44178C" w14:textId="77777777" w:rsidR="00066C7E" w:rsidRPr="00EF4990" w:rsidRDefault="00DE6DFC" w:rsidP="0046173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5D7D96" w:rsidRPr="00EF4990" w14:paraId="36753CB6" w14:textId="77777777" w:rsidTr="006D6267">
        <w:trPr>
          <w:gridAfter w:val="2"/>
          <w:wAfter w:w="692" w:type="pct"/>
          <w:trHeight w:val="267"/>
        </w:trPr>
        <w:tc>
          <w:tcPr>
            <w:tcW w:w="43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F2340AE" w14:textId="77777777" w:rsidR="005D7D96" w:rsidRPr="00EF4990" w:rsidRDefault="005D7D96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1. ПРОГРАМИ-ПЕРЕДУМОВИ СИСТЕМИ НАССР</w:t>
            </w:r>
          </w:p>
        </w:tc>
      </w:tr>
      <w:tr w:rsidR="00570497" w:rsidRPr="00EF4990" w14:paraId="60ADBF3B" w14:textId="77777777" w:rsidTr="00702334">
        <w:trPr>
          <w:gridAfter w:val="2"/>
          <w:wAfter w:w="692" w:type="pct"/>
          <w:trHeight w:val="3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AA6E25D" w14:textId="77777777" w:rsidR="00570497" w:rsidRPr="00EF4990" w:rsidRDefault="00570497" w:rsidP="0046173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83A" w14:textId="77777777" w:rsidR="00570497" w:rsidRPr="00EF4990" w:rsidRDefault="00570497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 належного планування виробничих, допоміжних та побутових приміщень</w:t>
            </w:r>
          </w:p>
        </w:tc>
      </w:tr>
      <w:tr w:rsidR="00BF2689" w:rsidRPr="00EF4990" w14:paraId="4066D8BE" w14:textId="77777777" w:rsidTr="00FB2B11">
        <w:trPr>
          <w:gridAfter w:val="2"/>
          <w:wAfter w:w="692" w:type="pct"/>
          <w:trHeight w:val="80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48E2583" w14:textId="77777777" w:rsidR="00066C7E" w:rsidRPr="00EF4990" w:rsidRDefault="00066C7E" w:rsidP="0046173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B55B" w14:textId="77777777" w:rsidR="00066C7E" w:rsidRPr="008F1738" w:rsidRDefault="00066C7E" w:rsidP="008F1738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Плани приміщень із нанесенням на них потоку руху мате</w:t>
            </w:r>
            <w:r w:rsidR="008978B6" w:rsidRPr="00EF4990">
              <w:rPr>
                <w:rFonts w:ascii="Times New Roman" w:hAnsi="Times New Roman" w:cs="Times New Roman"/>
                <w:sz w:val="24"/>
                <w:szCs w:val="24"/>
              </w:rPr>
              <w:t>ріалів та персоналу розроблено,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 ризик перехресного забруднення оцінено та, в разі потреби, запрова</w:t>
            </w:r>
            <w:r w:rsidR="007B1C2D">
              <w:rPr>
                <w:rFonts w:ascii="Times New Roman" w:hAnsi="Times New Roman" w:cs="Times New Roman"/>
                <w:sz w:val="24"/>
                <w:szCs w:val="24"/>
              </w:rPr>
              <w:t>джено процедуру його уникнення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FD748B0" w14:textId="77777777" w:rsidR="00066C7E" w:rsidRPr="00EF4990" w:rsidRDefault="008978B6" w:rsidP="00FB2B11">
            <w:pPr>
              <w:pStyle w:val="TableTABL"/>
              <w:tabs>
                <w:tab w:val="clear" w:pos="7767"/>
                <w:tab w:val="right" w:pos="0"/>
              </w:tabs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1.1.1.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Розміщення потужності, її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виробничих, допоміжних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побутових примі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щень, технологічного обладнання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відповідає технологічним процесам, асортименту про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дуктів та ризиків, пов’язаних з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цим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10C5F9A" w14:textId="77777777" w:rsidR="00066C7E" w:rsidRPr="00EF4990" w:rsidRDefault="00B12EB0" w:rsidP="00B12EB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2BC84B7" w14:textId="77777777" w:rsidR="00066C7E" w:rsidRPr="00EF4990" w:rsidRDefault="00066C7E" w:rsidP="00B12EB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53C3E4B" w14:textId="77777777" w:rsidR="00066C7E" w:rsidRPr="00EF4990" w:rsidRDefault="00066C7E" w:rsidP="00B12EB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869B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4 пун</w:t>
            </w:r>
            <w:r w:rsidR="008978B6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кту 7.1.3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AEECD7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2.5.1</w:t>
            </w:r>
          </w:p>
          <w:p w14:paraId="164D0A1A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2.5 розділу ІІ</w:t>
            </w:r>
          </w:p>
          <w:p w14:paraId="24893FF1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396512D3" w14:textId="77777777" w:rsidTr="00FB2B11">
        <w:trPr>
          <w:gridAfter w:val="2"/>
          <w:wAfter w:w="692" w:type="pct"/>
          <w:trHeight w:val="20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495C2D8" w14:textId="77777777" w:rsidR="00066C7E" w:rsidRPr="00EF4990" w:rsidRDefault="00066C7E" w:rsidP="0046173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BFCC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Належне постійне розмежування сирих та готових до споживання харчових продуктів на всіх етапах постачання, поводження, зберігання, підготовки, приготування та подачі </w:t>
            </w:r>
            <w:r w:rsidR="007B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AAABB17" w14:textId="77777777" w:rsidR="00066C7E" w:rsidRPr="00EF4990" w:rsidRDefault="00066C7E" w:rsidP="00FB2B11">
            <w:pPr>
              <w:pStyle w:val="TableTABL"/>
              <w:tabs>
                <w:tab w:val="clear" w:pos="7767"/>
                <w:tab w:val="right" w:pos="0"/>
              </w:tabs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1.1.2. Зменшено ризик перехресного забруднення шляхом належного планування та організації потоків руху непереробле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них, частково перероблених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перероблених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харчових проду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ктів, допоміжних матеріалів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переробки харчових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продуктів, предметів та матеріалів, що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тують з харчовими продуктами,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пакувальних, персонал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у, відвідувачів так, що вони не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загрожують безпечності продуктів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2D85438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023D3A5" w14:textId="77777777" w:rsidR="00066C7E" w:rsidRPr="00EF4990" w:rsidRDefault="00066C7E" w:rsidP="0046173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97B189E" w14:textId="77777777" w:rsidR="00066C7E" w:rsidRPr="00EF4990" w:rsidRDefault="00066C7E" w:rsidP="0046173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174E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7.1.1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7C6BDC4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2.5.2</w:t>
            </w:r>
          </w:p>
          <w:p w14:paraId="0E6AC50C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2.5 розділу ІІ</w:t>
            </w:r>
          </w:p>
          <w:p w14:paraId="311623B8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0046F229" w14:textId="77777777" w:rsidTr="008F1738">
        <w:trPr>
          <w:gridAfter w:val="2"/>
          <w:wAfter w:w="692" w:type="pct"/>
          <w:trHeight w:val="87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58FFF57" w14:textId="77777777" w:rsidR="00066C7E" w:rsidRPr="00EF4990" w:rsidRDefault="00066C7E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B2E1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«Чиста» та «брудна» зони (тимчасові чи постійні) визначені оператором ринку та дотримуються працівниками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0322866" w14:textId="77777777" w:rsidR="00066C7E" w:rsidRPr="00EF4990" w:rsidRDefault="00066C7E" w:rsidP="00FB2B11">
            <w:pPr>
              <w:pStyle w:val="TableTABL"/>
              <w:tabs>
                <w:tab w:val="clear" w:pos="7767"/>
                <w:tab w:val="right" w:pos="0"/>
              </w:tabs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1.1.3. Потужність спл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ановано, сконструйовано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розміщено так, щоб забезпечити належне утримання, чищення та/а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бо дезінфекцію, запобігання або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зацію будь-якого забруднення, 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 зді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йснення заходів, необхідних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7B1C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абезпечення гігієнічних вимог,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 тому числі заходів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оротьби із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шкідниками, запобіган</w:t>
            </w:r>
            <w:r w:rsidR="007B1C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ня накопиченню бруду, контакту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токсичн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ими речовинами та </w:t>
            </w:r>
            <w:r w:rsidR="007B1C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матеріалами,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забрудненню харчових продуктів, та підтримання необхідних температурних режимів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F448F8C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443B411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45FD195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2011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7.1.2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BF2E4FA" w14:textId="77777777" w:rsidR="00066C7E" w:rsidRPr="00EF4990" w:rsidRDefault="00066C7E" w:rsidP="00D81E0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2 частини першої статті 41 ЗУ № 771/97-ВР</w:t>
            </w:r>
          </w:p>
        </w:tc>
      </w:tr>
      <w:tr w:rsidR="00555F66" w:rsidRPr="00EF4990" w14:paraId="2882586D" w14:textId="77777777" w:rsidTr="00555F66">
        <w:trPr>
          <w:gridAfter w:val="2"/>
          <w:wAfter w:w="692" w:type="pct"/>
          <w:trHeight w:val="98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CC4D03C" w14:textId="77777777" w:rsidR="00555F66" w:rsidRPr="00EF4990" w:rsidRDefault="00555F66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1.1.4.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5042" w14:textId="77777777" w:rsidR="00555F66" w:rsidRPr="00EF4990" w:rsidRDefault="00555F66" w:rsidP="00FB2B11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Для роботи в чистій зоні визначено окремий персонал або при переміщенні персоналу з зони для поводження з необробленими харчовими продуктами в зону, де здій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снюється поводження з готовими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до споживання харчовими продуктами, застос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овано адекватні заходи контролю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094E09F" w14:textId="77777777" w:rsidR="00555F66" w:rsidRPr="00EF4990" w:rsidRDefault="00555F66" w:rsidP="00D81E0B">
            <w:pPr>
              <w:pStyle w:val="TableTABL"/>
              <w:tabs>
                <w:tab w:val="clear" w:pos="7767"/>
                <w:tab w:val="right" w:pos="26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A7A1C23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9964587" w14:textId="77777777" w:rsidR="00555F66" w:rsidRPr="00EF4990" w:rsidRDefault="00555F66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4F62B94" w14:textId="77777777" w:rsidR="00555F66" w:rsidRPr="00EF4990" w:rsidRDefault="00555F66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6F3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7.1.3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F959502" w14:textId="77777777" w:rsidR="00555F66" w:rsidRPr="00EF4990" w:rsidRDefault="00555F66" w:rsidP="00D81E0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55F66" w:rsidRPr="00EF4990" w14:paraId="25C9585A" w14:textId="77777777" w:rsidTr="00702334">
        <w:trPr>
          <w:gridAfter w:val="2"/>
          <w:wAfter w:w="692" w:type="pct"/>
          <w:trHeight w:val="67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B871A40" w14:textId="77777777" w:rsidR="00555F66" w:rsidRPr="00EF4990" w:rsidRDefault="00555F66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DC1E" w14:textId="77777777" w:rsidR="00555F66" w:rsidRPr="00EF4990" w:rsidRDefault="00555F66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 обладнання, посуду та інвентарю не становить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агрози перехресного забруднення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737670F" w14:textId="77777777" w:rsidR="00555F66" w:rsidRPr="00EF4990" w:rsidRDefault="00555F66" w:rsidP="00D81E0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3795D2D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1F86011" w14:textId="77777777" w:rsidR="00555F66" w:rsidRPr="00EF4990" w:rsidRDefault="00555F66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08A220C" w14:textId="77777777" w:rsidR="00555F66" w:rsidRPr="00EF4990" w:rsidRDefault="00555F66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1733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2 пункту 7.1.3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50BEE7F" w14:textId="77777777" w:rsidR="00555F66" w:rsidRPr="00EF4990" w:rsidRDefault="00555F66" w:rsidP="00D81E0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69C44F11" w14:textId="77777777" w:rsidTr="008F1738">
        <w:trPr>
          <w:gridAfter w:val="2"/>
          <w:wAfter w:w="692" w:type="pct"/>
          <w:trHeight w:val="7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84F42D9" w14:textId="77777777" w:rsidR="00066C7E" w:rsidRPr="00EF4990" w:rsidRDefault="00066C7E" w:rsidP="0057049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39E" w14:textId="77777777" w:rsidR="00066C7E" w:rsidRPr="007B1C2D" w:rsidRDefault="007B1C2D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Відсутня у </w:t>
            </w:r>
            <w:r w:rsid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Н</w:t>
            </w:r>
            <w:r w:rsidR="00066C7E"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астановах, п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еревіряти за вимогою Наказу</w:t>
            </w:r>
            <w:r w:rsidR="00FB2B1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</w:t>
            </w:r>
            <w:r w:rsid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2B62D480" w14:textId="77777777" w:rsidR="00066C7E" w:rsidRPr="00EF4990" w:rsidRDefault="00066C7E" w:rsidP="00FB2B1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97EECA6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1.1.4. Розміщення потужностей враховує параметри навколишнього середовища (стан ґрунту, повітря), якщо такі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можуть мати негативний вплив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зпечність харчових продуктів, 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також діяльність інших суб’єктів господарювання,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ймовірність появи шкідників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5494DFB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841806F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3E8EB88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5A3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E33B81F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2.5.3 пункту 2.5 розділу ІІ</w:t>
            </w:r>
          </w:p>
          <w:p w14:paraId="312B6B68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51729CCE" w14:textId="77777777" w:rsidTr="00702334">
        <w:trPr>
          <w:gridAfter w:val="2"/>
          <w:wAfter w:w="692" w:type="pct"/>
          <w:trHeight w:val="35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B1A3AA9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260F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Об’єми виробництва та асортимент продукції н</w:t>
            </w:r>
            <w:r w:rsidR="007B1C2D">
              <w:rPr>
                <w:rFonts w:ascii="Times New Roman" w:hAnsi="Times New Roman" w:cs="Times New Roman"/>
                <w:sz w:val="24"/>
                <w:szCs w:val="24"/>
              </w:rPr>
              <w:t>е перевищують проектні значення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945DDED" w14:textId="77777777" w:rsidR="00066C7E" w:rsidRPr="00EF4990" w:rsidRDefault="001974B1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1.1.5. Площа та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 пар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аметри виробничих, допоміжних і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побутових приміщень, характеристики обладнання відповідають асортименту харчових проду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ктів та обсягам виробництва, що здійснюється на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потужності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85F83B9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34D13A4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EF766B2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BF10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3 пункту 7.1.3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D4DA127" w14:textId="77777777" w:rsidR="003F78DD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 </w:t>
            </w:r>
          </w:p>
          <w:p w14:paraId="662C34ED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2.5.4–2.5.6 пункту 2.5 розділу ІІ</w:t>
            </w:r>
          </w:p>
          <w:p w14:paraId="48F7472E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2F62AE" w:rsidRPr="00EF4990" w14:paraId="33B39777" w14:textId="77777777" w:rsidTr="000D2EF2">
        <w:trPr>
          <w:gridAfter w:val="2"/>
          <w:wAfter w:w="692" w:type="pct"/>
          <w:trHeight w:val="62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4F676A9" w14:textId="77777777" w:rsidR="002F62AE" w:rsidRPr="00EF4990" w:rsidRDefault="002F62AE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F37B" w14:textId="77777777" w:rsidR="002F62AE" w:rsidRPr="00EF4990" w:rsidRDefault="002F62AE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 території, стану приміщень, обладнання, проведення ремонтних робіт, технічного обслуговування обладнання, калібрування, а також заходів щодо захисту харчових продуктів від забруднення та сторонніх домішок</w:t>
            </w:r>
          </w:p>
        </w:tc>
      </w:tr>
      <w:tr w:rsidR="00BF2689" w:rsidRPr="00EF4990" w14:paraId="197B7B82" w14:textId="77777777" w:rsidTr="00FB2B11">
        <w:trPr>
          <w:gridAfter w:val="2"/>
          <w:wAfter w:w="692" w:type="pct"/>
          <w:trHeight w:val="80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BC68BB9" w14:textId="77777777" w:rsidR="00066C7E" w:rsidRPr="00EF4990" w:rsidRDefault="00066C7E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E35D" w14:textId="77777777" w:rsidR="00480E90" w:rsidRPr="007B1C2D" w:rsidRDefault="00480E90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0021589B" w14:textId="77777777" w:rsidR="00066C7E" w:rsidRPr="00EF4990" w:rsidRDefault="00066C7E" w:rsidP="00FB2B1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A50E26A" w14:textId="77777777" w:rsidR="00066C7E" w:rsidRPr="00EF4990" w:rsidRDefault="001974B1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1.2.1. Відповідно до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технологічних процесів, ас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ортименту харчових продуктів та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оцінки ризик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 забезпечено належні умови для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виробничих процесів, щоб запобігти забрудненню продуктів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C0AC784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494CDFB" w14:textId="77777777" w:rsidR="00066C7E" w:rsidRPr="00EF4990" w:rsidRDefault="00066C7E" w:rsidP="006F78D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BAED69F" w14:textId="77777777" w:rsidR="00066C7E" w:rsidRPr="00EF4990" w:rsidRDefault="00066C7E" w:rsidP="006F78D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73B2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49F36A7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2.6.1 пункту 2.6 розділу ІІ</w:t>
            </w:r>
          </w:p>
          <w:p w14:paraId="3B0066FB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71250812" w14:textId="77777777" w:rsidTr="00FB2B11">
        <w:trPr>
          <w:gridAfter w:val="2"/>
          <w:wAfter w:w="692" w:type="pct"/>
          <w:trHeight w:val="80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13DF947" w14:textId="77777777" w:rsidR="00066C7E" w:rsidRPr="00EF4990" w:rsidRDefault="00066C7E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E479" w14:textId="77777777" w:rsidR="00480E90" w:rsidRPr="007B1C2D" w:rsidRDefault="00480E90" w:rsidP="00FB2B11">
            <w:pPr>
              <w:pStyle w:val="TableTABL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1E99BAF8" w14:textId="77777777" w:rsidR="00066C7E" w:rsidRPr="00EF4990" w:rsidRDefault="00066C7E" w:rsidP="00FB2B1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AA67ABD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1.2.2. Облаштування території потужності максимально запобіг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ає несанкціонованому доступу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проникненню шкідників, перехресному за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брудненню харчових продуктів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сприяє видаленню стічних вод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FBF5271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9CA9237" w14:textId="77777777" w:rsidR="00066C7E" w:rsidRPr="00EF4990" w:rsidRDefault="00066C7E" w:rsidP="006F78D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B5827AA" w14:textId="77777777" w:rsidR="00066C7E" w:rsidRPr="00EF4990" w:rsidRDefault="00066C7E" w:rsidP="006F78D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CE0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E21683A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2.6.2 пункту 2.6 розділу ІІ</w:t>
            </w:r>
          </w:p>
          <w:p w14:paraId="62A86484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12EB0" w:rsidRPr="00EF4990" w14:paraId="5864B0C5" w14:textId="77777777" w:rsidTr="00FB2B11">
        <w:trPr>
          <w:gridAfter w:val="2"/>
          <w:wAfter w:w="692" w:type="pct"/>
          <w:trHeight w:val="516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4B39EDD" w14:textId="77777777" w:rsidR="00B12EB0" w:rsidRPr="00EF4990" w:rsidRDefault="00B12EB0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255BB" w14:textId="77777777" w:rsidR="00B12EB0" w:rsidRPr="00EF4990" w:rsidRDefault="00B12EB0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Приміщення виготовлені з матеріалів, стійких до умов експ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луатації та є у належному стані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AFFD1C8" w14:textId="77777777" w:rsidR="00B12EB0" w:rsidRPr="00EF4990" w:rsidRDefault="00B12EB0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1.2.3. Приміщення (у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стіни, підлога, стеля, підвіс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ні елементи) для виробництва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зберігання 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арчових продуктів побудовано зі стійких до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умов експлуатації матеріалів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урахуванням вимог виробництва,</w:t>
            </w:r>
            <w:r w:rsidR="00FB2B1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які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забезпечують можливість дотримання належ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ного рівня гігієнічних вимог до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харчових продуктів, включа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ючи захист від забруднення, під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 опер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ацій із харчовими продуктами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такими операціями у спосіб, що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запобігає накоп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иченню бруду, росту плісняви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утворенню конденсату, сприяє видаленню волог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підлоги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полегшує прибирання, миття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дезінфекцію. Належний стан таких приміщень забезпечено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31FC03F" w14:textId="77777777" w:rsidR="00B12EB0" w:rsidRPr="00EF4990" w:rsidRDefault="00B12EB0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41EFB83" w14:textId="77777777" w:rsidR="00B12EB0" w:rsidRPr="00EF4990" w:rsidRDefault="00B12EB0" w:rsidP="006F78D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3A3CD80" w14:textId="77777777" w:rsidR="00B12EB0" w:rsidRPr="00EF4990" w:rsidRDefault="00B12EB0" w:rsidP="006F78D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F531D" w14:textId="77777777" w:rsidR="00B12EB0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 8.1</w:t>
            </w:r>
          </w:p>
          <w:p w14:paraId="7CF42811" w14:textId="77777777" w:rsidR="00B12EB0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Підпункт 4 пункту 8.2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DB21EA5" w14:textId="77777777" w:rsidR="00B12EB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</w:p>
          <w:p w14:paraId="754E6D31" w14:textId="77777777" w:rsidR="00B12EB0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 2.6.3–2.6.6 пункту 2.6 розділу ІІ</w:t>
            </w:r>
          </w:p>
          <w:p w14:paraId="5CBFD50E" w14:textId="77777777" w:rsidR="00B12EB0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 пункти 1, 2</w:t>
            </w:r>
          </w:p>
          <w:p w14:paraId="465D556C" w14:textId="77777777" w:rsidR="00B12EB0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абзацу другого частини першої статті 42</w:t>
            </w:r>
          </w:p>
          <w:p w14:paraId="05A2FA30" w14:textId="77777777" w:rsidR="00B12EB0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771/97-ВР</w:t>
            </w:r>
          </w:p>
        </w:tc>
      </w:tr>
      <w:tr w:rsidR="00BF2689" w:rsidRPr="00EF4990" w14:paraId="651DB466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E4B49" w14:textId="77777777" w:rsidR="00066C7E" w:rsidRPr="00EF4990" w:rsidRDefault="00066C7E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191" w14:textId="77777777" w:rsidR="00480E90" w:rsidRPr="007B1C2D" w:rsidRDefault="00480E90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6B77ED8B" w14:textId="77777777" w:rsidR="00066C7E" w:rsidRPr="00EF4990" w:rsidRDefault="00066C7E" w:rsidP="00FB2B1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E0CD7A" w14:textId="77777777" w:rsidR="00066C7E" w:rsidRPr="00EF4990" w:rsidRDefault="001974B1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1.2.4. Двері не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мають </w:t>
            </w:r>
            <w:proofErr w:type="spellStart"/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тріщин</w:t>
            </w:r>
            <w:proofErr w:type="spellEnd"/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відшарування фарби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та корозії, легко миються і за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потреби дезінфікую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ться. Зовнішні двері, через які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можна потр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апити в зону поводження з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спроектовані так, щоб зап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обігати проникненню шкідників у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приміщ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ення. Ці двері, а також двері і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FB2B1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орота,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які використовуються для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розділення виробничих приміщень, 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можливості закриті чи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обладнані пристроями 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самовільного закривання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7B563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65861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94AAC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5C43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FA3D8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2.6.7 пункту 2.6 розділу ІІ</w:t>
            </w:r>
          </w:p>
          <w:p w14:paraId="5917121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A5CD4E5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EA82A" w14:textId="77777777" w:rsidR="00066C7E" w:rsidRPr="00EF4990" w:rsidRDefault="00066C7E" w:rsidP="00D81E0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1771" w14:textId="77777777" w:rsidR="00480E90" w:rsidRPr="007B1C2D" w:rsidRDefault="00480E90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32DE2F21" w14:textId="77777777" w:rsidR="00066C7E" w:rsidRPr="00EF4990" w:rsidRDefault="00066C7E" w:rsidP="00FB2B1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2E01B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1.2.5. Вентиляційні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отвори, вікна чи прозорі дахи,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призначені для вентиляційних потреб, побудовані так, щоб це запобігало накопиченню бруду, захищені сітками проти комах, що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легко знімаються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чищення, чи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іншими засобами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уникнення ризику забруднення харчових продуктів. Вікна, освітлювальні засоби, електричні знищувачі комах, розміщені в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зонах, де існує ймовірність потрапляння осколків у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харчові продукти, захищено від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розбивання. Системи вентиляці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ї встановлені так, щоб фільтри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інші компо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ненти, які потребують чищення,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були легкодоступними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1C1A7E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310D79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E8930" w14:textId="77777777" w:rsidR="00066C7E" w:rsidRPr="00EF4990" w:rsidRDefault="00066C7E" w:rsidP="00D81E0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30C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4A60AF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2.6.8 пункту 2.6 розділу ІІ</w:t>
            </w:r>
          </w:p>
          <w:p w14:paraId="046BCD94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 пункт 3</w:t>
            </w:r>
          </w:p>
          <w:p w14:paraId="36BA5C7D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абзацу другого</w:t>
            </w:r>
          </w:p>
          <w:p w14:paraId="267B0A51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 першої статті 42</w:t>
            </w:r>
          </w:p>
          <w:p w14:paraId="5947964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771/97-ВР</w:t>
            </w:r>
          </w:p>
        </w:tc>
      </w:tr>
      <w:tr w:rsidR="00BF2689" w:rsidRPr="00EF4990" w14:paraId="0633466A" w14:textId="77777777" w:rsidTr="00702334">
        <w:trPr>
          <w:gridAfter w:val="2"/>
          <w:wAfter w:w="692" w:type="pct"/>
          <w:trHeight w:val="111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02A63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DF98" w14:textId="77777777" w:rsidR="00066C7E" w:rsidRPr="00EF4990" w:rsidRDefault="00066C7E" w:rsidP="00FB2B11">
            <w:pPr>
              <w:pStyle w:val="aff9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Все обладнання перебуває у справному робочому стані та використовується відповідно до інструкц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ій виробника та за призначенням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CBCF0" w14:textId="77777777" w:rsidR="00066C7E" w:rsidRPr="00EF4990" w:rsidRDefault="00066C7E" w:rsidP="007835A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1.2.6. Обладнання використовує</w:t>
            </w:r>
            <w:r w:rsidR="007835A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за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призначенням згідно зі специфікацією та підтримується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належному стані, систему технологічного обслуговування обладнання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8FA43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5A339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3951B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E6A7" w14:textId="77777777" w:rsidR="00066C7E" w:rsidRPr="00EF4990" w:rsidRDefault="00B12EB0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Абзац перший</w:t>
            </w:r>
            <w:r w:rsidR="008978B6" w:rsidRPr="00EF4990">
              <w:rPr>
                <w:color w:val="auto"/>
                <w:lang w:val="uk-UA"/>
              </w:rPr>
              <w:t xml:space="preserve"> пункту 8.2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C7732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Підпункт 2.6.9,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абзац другий підпункту 2.6.12 пункту 2.6 розділу ІІ</w:t>
            </w:r>
          </w:p>
          <w:p w14:paraId="0BE5B3E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555F66" w:rsidRPr="00EF4990" w14:paraId="5E7EA6B6" w14:textId="77777777" w:rsidTr="00555F66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10B66" w14:textId="77777777" w:rsidR="00555F66" w:rsidRPr="00EF4990" w:rsidRDefault="00555F66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3F6B" w14:textId="77777777" w:rsidR="00555F66" w:rsidRPr="00EF4990" w:rsidRDefault="00555F66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Усі поверхні, які контактують з харчовими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ктами, призначені для цієї мети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0ACFD" w14:textId="77777777" w:rsidR="00555F66" w:rsidRPr="00EF4990" w:rsidRDefault="00555F66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91377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  <w:p w14:paraId="17DCA6DB" w14:textId="77777777" w:rsidR="00555F66" w:rsidRPr="00EF4990" w:rsidRDefault="00555F66" w:rsidP="000D2EF2">
            <w:pPr>
              <w:pStyle w:val="a3"/>
              <w:spacing w:line="240" w:lineRule="auto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F9E53F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DC5284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760" w14:textId="77777777" w:rsidR="00555F66" w:rsidRPr="00EF4990" w:rsidRDefault="00555F6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Підпункт 1 пункту 8.2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8840D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55F66" w:rsidRPr="00EF4990" w14:paraId="7AEB9884" w14:textId="77777777" w:rsidTr="00555F66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CE729A" w14:textId="77777777" w:rsidR="00555F66" w:rsidRPr="00EF4990" w:rsidRDefault="00555F66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59A8" w14:textId="77777777" w:rsidR="00555F66" w:rsidRPr="00EF4990" w:rsidRDefault="00555F66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Усе стаціонарне обладнання повинне бути розміщене так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щоб був доступ для прибирання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F6875" w14:textId="77777777" w:rsidR="00555F66" w:rsidRPr="00EF4990" w:rsidRDefault="00555F66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873608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0AF77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84AE9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EF3" w14:textId="77777777" w:rsidR="00555F66" w:rsidRDefault="00555F6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 xml:space="preserve">Підпункти </w:t>
            </w:r>
          </w:p>
          <w:p w14:paraId="61BA861A" w14:textId="77777777" w:rsidR="00555F66" w:rsidRDefault="00555F6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 xml:space="preserve">2 і 3 </w:t>
            </w:r>
          </w:p>
          <w:p w14:paraId="4BB78DF4" w14:textId="77777777" w:rsidR="00555F66" w:rsidRPr="00EF4990" w:rsidRDefault="00555F6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пункту 8.2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DA2CE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19A642D6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46FE6F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B32E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Робота холодильного обладнання перевіряється не рідше, ніж 1 раз у день та звіряється з контрольним термометро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 не рідше, ніж 1 раз у тиждень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5B0CB" w14:textId="77777777" w:rsidR="00066C7E" w:rsidRPr="00EF4990" w:rsidRDefault="00312BBB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1.2.7. Повірка (калібрування)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обладнання, приладів здійснюється відповідно до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66C7E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чинного законодавства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C47B8" w14:textId="77777777" w:rsidR="000D2EF2" w:rsidRDefault="000D2EF2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Щоденно/</w:t>
            </w:r>
          </w:p>
          <w:p w14:paraId="56E82DDE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щотижня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47731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CD489A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F74" w14:textId="77777777" w:rsidR="00066C7E" w:rsidRPr="00EF4990" w:rsidRDefault="008978B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Підпункт 5 пункту 8.2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2F83B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2.6.9 пункту 2.6 розділу ІІ</w:t>
            </w:r>
          </w:p>
          <w:p w14:paraId="16D9C947" w14:textId="77777777" w:rsidR="003F78DD" w:rsidRDefault="003F78DD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  <w:p w14:paraId="3C0B541A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 друга статті 45 ЗУ № 771/97-ВР</w:t>
            </w:r>
          </w:p>
        </w:tc>
      </w:tr>
      <w:tr w:rsidR="00BF2689" w:rsidRPr="00EF4990" w14:paraId="6E499109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ED9F8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CAD9" w14:textId="77777777" w:rsidR="00066C7E" w:rsidRPr="00EF4990" w:rsidRDefault="00066C7E" w:rsidP="00FB2B1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Перевірка правильності роботи те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рмометрів проводиться регулярно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5EB2D0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E9015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Згідно специфікації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4A26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B6974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2BDB" w14:textId="77777777" w:rsidR="003F78DD" w:rsidRDefault="008978B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Пункти</w:t>
            </w:r>
          </w:p>
          <w:p w14:paraId="01944A8E" w14:textId="77777777" w:rsidR="00066C7E" w:rsidRPr="00EF4990" w:rsidRDefault="008978B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8.2.2 і 8.2.3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CD379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15CEA199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E07F0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1.2.11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2F39" w14:textId="77777777" w:rsidR="00066C7E" w:rsidRPr="00EF4990" w:rsidRDefault="00066C7E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Належні практики поводж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ення з обладнанням запроваджено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7578D" w14:textId="77777777" w:rsidR="00066C7E" w:rsidRPr="00EF4990" w:rsidRDefault="00066C7E" w:rsidP="001974B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1.2.8. Планові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позапланові ремонтні роботи здійснюються у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спосіб, що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унеможливлює забруднення харчових продуктів, відповідна документація щодо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проведених робіт ведеться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69EC0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75267C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22AC0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016E" w14:textId="77777777" w:rsidR="00066C7E" w:rsidRPr="00EF4990" w:rsidRDefault="008978B6" w:rsidP="003F78DD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Пункт 8.2.1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6D891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2.6.10 пункту 2.6 розділу ІІ</w:t>
            </w:r>
          </w:p>
          <w:p w14:paraId="5E4EF30A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9E3C762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A31B1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1.2.12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153E" w14:textId="77777777" w:rsidR="00480E90" w:rsidRPr="007B1C2D" w:rsidRDefault="00480E90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51C89901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29F05" w14:textId="77777777" w:rsidR="00066C7E" w:rsidRPr="00EF4990" w:rsidRDefault="00066C7E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1.2.9. Використання в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технологічних процесах скляних предметів та/або предметів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деревини відсутнє або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мінімізоване.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Систему підтримання у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належному стані необхідних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 в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технологічних процесах скляних предметів та/або предметів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дерева, 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 перевірки цілісності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неушкодженості скляних виробів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B4C9F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74661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3D02D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3F7D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E830A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2.6.11 пункту 2.6 розділу ІІ</w:t>
            </w:r>
          </w:p>
          <w:p w14:paraId="0395EE4E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066C7E" w:rsidRPr="00EF4990" w14:paraId="44E5EAC8" w14:textId="77777777" w:rsidTr="000D2EF2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4B20D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6016" w14:textId="77777777" w:rsidR="00066C7E" w:rsidRPr="00EF4990" w:rsidRDefault="00066C7E" w:rsidP="001974B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</w:t>
            </w:r>
            <w:r w:rsidR="001974B1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планування та</w:t>
            </w:r>
            <w:r w:rsidR="001974B1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стану комунікацій (вентиляції, водопроводів водопостачання</w:t>
            </w:r>
            <w:r w:rsidR="001974B1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та водовідведення, електро- та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газопостачання, освітлення тощо)</w:t>
            </w:r>
          </w:p>
        </w:tc>
      </w:tr>
      <w:tr w:rsidR="00BF2689" w:rsidRPr="00EF4990" w14:paraId="56DAC4DF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CDCBD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0F95" w14:textId="77777777" w:rsidR="00066C7E" w:rsidRPr="00312BBB" w:rsidRDefault="00312BBB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Перевіряти за вимогою Наказу № </w:t>
            </w:r>
            <w:r w:rsidR="00066C7E" w:rsidRPr="00312BBB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446, якщо існують комунікації інші, н</w:t>
            </w:r>
            <w:r w:rsidR="00480E90" w:rsidRPr="00312BBB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іж згадані далі у цьому розділі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BA791" w14:textId="77777777" w:rsidR="00066C7E" w:rsidRPr="00EF4990" w:rsidRDefault="00066C7E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1.3.1. Належні комунікації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 технологічних допоміжних процесів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відповідний стан забезпечено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81063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Кожні 6 місяців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296DFA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CB249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89A4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D1A71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2.7.1 пункту 2.7 розділу ІІ</w:t>
            </w:r>
          </w:p>
          <w:p w14:paraId="61DC2DED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41CCCE6B" w14:textId="77777777" w:rsidTr="00702334">
        <w:trPr>
          <w:gridAfter w:val="2"/>
          <w:wAfter w:w="692" w:type="pct"/>
          <w:trHeight w:val="1192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1BF8ECF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4EF9" w14:textId="77777777" w:rsidR="00066C7E" w:rsidRPr="00EF4990" w:rsidRDefault="00066C7E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Резервуари для зберігання для 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води є проточними та заритими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4A09400" w14:textId="77777777" w:rsidR="00066C7E" w:rsidRPr="00EF4990" w:rsidRDefault="00066C7E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1.3.2. Належні проектування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стан систем водопостачання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водовідведення, їх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технічний 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огляд, ремонт, прибирання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дезінфекцію забезпечено. Відпрацьована вода відводиться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дотриманням вимог гігієни. Системи дренажу спроектовані так, щоб полегшити прибирання 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мінімізувати ризик забруднення харчових продуктів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F5AB345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Кожні 6 місяців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59C2DCA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395826A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E2CA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Підпункт 2  пункту 8.3.1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4E147C1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2.7.2 пункту 2.7 розділу ІІ</w:t>
            </w:r>
          </w:p>
          <w:p w14:paraId="018AB84B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439C3C60" w14:textId="77777777" w:rsidTr="00FB2B11">
        <w:trPr>
          <w:gridAfter w:val="2"/>
          <w:wAfter w:w="692" w:type="pct"/>
          <w:trHeight w:val="154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917A90D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3648" w14:textId="77777777" w:rsidR="00066C7E" w:rsidRPr="00EF4990" w:rsidRDefault="00066C7E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Належний стан водопроводу забезпечено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4D84AD6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8BBD60C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90F7031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04FB582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0E6B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Підпункт 5 пункту 8.3.1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37D290B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1E551846" w14:textId="77777777" w:rsidTr="00FB2B11">
        <w:trPr>
          <w:gridAfter w:val="2"/>
          <w:wAfter w:w="692" w:type="pct"/>
          <w:trHeight w:val="8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BC4FD40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59F1" w14:textId="77777777" w:rsidR="00066C7E" w:rsidRPr="00EF4990" w:rsidRDefault="00066C7E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Витяжну  вентиляцію встановлено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 приладами, при</w:t>
            </w:r>
            <w:r w:rsidR="00480E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значеними для термічної обробки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66B364A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1.3.3. Належну природну або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механічну вентиляцію приміщень, де здійснюється поводження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 допоміжних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побутових приміщень забезпечено. Системи вентиляції сконструйовані так, щоб механічний потік повітря із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забрудненої зони не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потрапляв до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чистої зони, забезпечено безперешкодний доступ до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фільтрів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частин, які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необхідно чистити або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замінювати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A0E7026" w14:textId="77777777" w:rsidR="00066C7E" w:rsidRPr="00EF4990" w:rsidRDefault="00066C7E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6F155A4" w14:textId="77777777" w:rsidR="00066C7E" w:rsidRPr="00EF4990" w:rsidRDefault="00066C7E" w:rsidP="00A636F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36F6DBD" w14:textId="77777777" w:rsidR="00066C7E" w:rsidRPr="00EF4990" w:rsidRDefault="00066C7E" w:rsidP="00A636F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A90" w14:textId="77777777" w:rsidR="00066C7E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Абзац перший</w:t>
            </w:r>
            <w:r w:rsidR="008978B6"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пункту 8.3.3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CEEE40D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2.7.3 пункту 2.7 розділу ІІ</w:t>
            </w:r>
          </w:p>
          <w:p w14:paraId="73AFBA5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 пункт 3 частини першої статті 41</w:t>
            </w:r>
          </w:p>
          <w:p w14:paraId="378C5992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771/97-ВР</w:t>
            </w:r>
          </w:p>
        </w:tc>
      </w:tr>
      <w:tr w:rsidR="00555F66" w:rsidRPr="00EF4990" w14:paraId="69BC7273" w14:textId="77777777" w:rsidTr="00555F66">
        <w:trPr>
          <w:gridAfter w:val="2"/>
          <w:wAfter w:w="692" w:type="pct"/>
          <w:trHeight w:val="8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190EDED" w14:textId="77777777" w:rsidR="00555F66" w:rsidRPr="00EF4990" w:rsidRDefault="00555F66" w:rsidP="00A636F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7549" w14:textId="77777777" w:rsidR="00555F66" w:rsidRPr="00EF4990" w:rsidRDefault="00555F66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Вентилятори чи кондиціонери встановлено так, що потік повітря не попадає безпосередн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 на харчові продукти чи посуд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61469B4" w14:textId="77777777" w:rsidR="00555F66" w:rsidRPr="00EF4990" w:rsidRDefault="00555F66" w:rsidP="00A636F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82805B8" w14:textId="77777777" w:rsidR="00555F66" w:rsidRPr="00EF4990" w:rsidRDefault="00555F66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7029E8" w14:textId="77777777" w:rsidR="00555F66" w:rsidRPr="00EF4990" w:rsidRDefault="00555F66" w:rsidP="00A636F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4045664" w14:textId="77777777" w:rsidR="00555F66" w:rsidRPr="00EF4990" w:rsidRDefault="00555F66" w:rsidP="00A636F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FB24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Абзац другий</w:t>
            </w: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пункту 8.3.3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719897E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55F66" w:rsidRPr="00EF4990" w14:paraId="53E2DC94" w14:textId="77777777" w:rsidTr="00555F66">
        <w:trPr>
          <w:gridAfter w:val="2"/>
          <w:wAfter w:w="692" w:type="pct"/>
          <w:trHeight w:val="11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7F9125" w14:textId="77777777" w:rsidR="00555F66" w:rsidRPr="00EF4990" w:rsidRDefault="00555F66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3CF" w14:textId="77777777" w:rsidR="00555F66" w:rsidRPr="00EF4990" w:rsidRDefault="00555F66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Усі отвори для вентиляції (у тому числі віконні отвори) захищено сіткою з максимальним лінійним розміром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отвору не більшим, ніж 1,6 мм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9663059" w14:textId="77777777" w:rsidR="00555F66" w:rsidRPr="00EF4990" w:rsidRDefault="00555F66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0597923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388ED0A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6FA4A63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9131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Абзац третій</w:t>
            </w: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пункту 8.3.3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942D49A" w14:textId="77777777" w:rsidR="00555F66" w:rsidRPr="00EF4990" w:rsidRDefault="00555F66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63BCBD1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135024A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9A2" w14:textId="77777777" w:rsidR="00480E90" w:rsidRPr="007B1C2D" w:rsidRDefault="00480E90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55CF5324" w14:textId="77777777" w:rsidR="00066C7E" w:rsidRPr="00EF4990" w:rsidRDefault="00066C7E" w:rsidP="00312BBB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DB57D60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1.3.4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Оцінку ризику забруднення від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повітря харчових продуктів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пр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оведено, використання повітря у виробництві базується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відповідній оцінці ризиків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6977191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 xml:space="preserve">Щорічно або при змінах у </w:t>
            </w:r>
            <w:r w:rsidRPr="00EF4990">
              <w:rPr>
                <w:color w:val="auto"/>
                <w:lang w:val="uk-UA"/>
              </w:rPr>
              <w:lastRenderedPageBreak/>
              <w:t>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AEC8929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F56E0A7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6320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AE89127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Підпункт 2.7.4 пункту 2.7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розділу ІІ</w:t>
            </w:r>
          </w:p>
          <w:p w14:paraId="0715466F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1B965E35" w14:textId="77777777" w:rsidTr="008F1738">
        <w:trPr>
          <w:gridAfter w:val="2"/>
          <w:wAfter w:w="692" w:type="pct"/>
          <w:trHeight w:val="20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06F34E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E421" w14:textId="77777777" w:rsidR="00480E90" w:rsidRPr="007B1C2D" w:rsidRDefault="00480E90" w:rsidP="00312BBB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152CBC4E" w14:textId="77777777" w:rsidR="00066C7E" w:rsidRPr="00EF4990" w:rsidRDefault="00066C7E" w:rsidP="00312BBB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040A88A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1.3.5. Усі виробничі зони мають належне освітлення. Освітлювальне обладнання не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несе загрози забруднення харчового продукту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8EBCC7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DED07DE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953A6F0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367B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C8ED8BD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2.7.5 пункту 2.7 розділу ІІ</w:t>
            </w:r>
          </w:p>
          <w:p w14:paraId="2F1D8C2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6E774ABC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2A8C6E8" w14:textId="77777777" w:rsidR="00066C7E" w:rsidRPr="00EF4990" w:rsidRDefault="00066C7E" w:rsidP="002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A033" w14:textId="77777777" w:rsidR="00066C7E" w:rsidRPr="00696EFA" w:rsidRDefault="00066C7E" w:rsidP="00696EFA">
            <w:pPr>
              <w:pStyle w:val="TableTABL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Впроваджено процедуру дій у</w:t>
            </w:r>
            <w:r w:rsidR="00696EFA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 xml:space="preserve"> випадку тимчасового припинення </w:t>
            </w: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електропостачання</w:t>
            </w:r>
            <w:r w:rsidR="00696EFA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 xml:space="preserve">, </w:t>
            </w: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яка містить інформацію про заходи з підтримання температури у холодильних та морозильних камерах, період, протягом якого підтримання температури можливе, дії з охолодженими чи за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мороженими харчовими продуктами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A85B059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1.3.6. Оцінку ризиків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безпечності харчового продукту через неналежне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електропостачання проведено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потреби коригувальні заходи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CB2EC9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ECE906F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587F419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53FF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 8.3.2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1F5392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2.7.6 пункту 2.7 розділу ІІ</w:t>
            </w:r>
          </w:p>
          <w:p w14:paraId="35D6047F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2833C6" w:rsidRPr="00EF4990" w14:paraId="60043B24" w14:textId="77777777" w:rsidTr="000D2EF2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17AFCE3" w14:textId="77777777" w:rsidR="002833C6" w:rsidRPr="00EF4990" w:rsidRDefault="002833C6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9491" w14:textId="77777777" w:rsidR="002833C6" w:rsidRPr="00EF4990" w:rsidRDefault="002833C6" w:rsidP="00696EFA">
            <w:pPr>
              <w:pStyle w:val="TableTABL"/>
              <w:ind w:left="57" w:right="57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 </w:t>
            </w:r>
            <w:r w:rsidR="00F75121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безпечності води, льоду, пари,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допоміжних матеріалів для переробки (обробки)</w:t>
            </w:r>
            <w:r w:rsidR="00F75121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харчових продуктів, предметів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 матеріалів, що контактують з харчовими продуктами</w:t>
            </w:r>
          </w:p>
        </w:tc>
      </w:tr>
      <w:tr w:rsidR="00BF2689" w:rsidRPr="00EF4990" w14:paraId="39CA44F6" w14:textId="77777777" w:rsidTr="00FB2B11">
        <w:trPr>
          <w:gridAfter w:val="2"/>
          <w:wAfter w:w="692" w:type="pct"/>
          <w:trHeight w:val="136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D5DC453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5B60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Вода, яка використовується на потужності, відповідає 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законодавству з питної води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35B46B2" w14:textId="77777777" w:rsidR="00066C7E" w:rsidRPr="00EF4990" w:rsidRDefault="00066C7E" w:rsidP="00696EFA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1.4.1 Вода на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потужностях, яка є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інгредієнтом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харчових продуктів або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 може прямо чи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опосередковано контактувати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ними, вода, призначена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виробництва льоду, 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 зворотна вода, якщо така використовується в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технологічному процесі, відповідає вимогам щодо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питної води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гігієнічним вимогам щодо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постачання води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B3E5D1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38463E2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8F8B097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6262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Підпункт 1 пункту 8.3.1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F19EEB0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2.8.1</w:t>
            </w:r>
          </w:p>
          <w:p w14:paraId="50E6D2C4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2.8 розділу ІІ</w:t>
            </w:r>
          </w:p>
          <w:p w14:paraId="42309AB8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 стаття 47</w:t>
            </w:r>
          </w:p>
          <w:p w14:paraId="5DAC65CD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771/97-ВР</w:t>
            </w:r>
          </w:p>
        </w:tc>
      </w:tr>
      <w:tr w:rsidR="00BF2689" w:rsidRPr="00EF4990" w14:paraId="5F8C0B40" w14:textId="77777777" w:rsidTr="00FB2B11">
        <w:trPr>
          <w:gridAfter w:val="2"/>
          <w:wAfter w:w="692" w:type="pct"/>
          <w:trHeight w:val="34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FC462E4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9048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Небезпечні фактори, </w:t>
            </w:r>
            <w:r w:rsidR="003753C3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характерні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для води, ідентифіковано та оцінено ризики під ч</w:t>
            </w:r>
            <w:r w:rsidR="00696E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ас дослідження системи НАССР, і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в разі потреби, систему </w:t>
            </w:r>
            <w:proofErr w:type="spellStart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водопідгот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овки</w:t>
            </w:r>
            <w:proofErr w:type="spellEnd"/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запроваджено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F35F09F" w14:textId="77777777" w:rsidR="00066C7E" w:rsidRPr="00EF4990" w:rsidRDefault="00066C7E" w:rsidP="00696EFA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1.4.2. Визначено ризики, які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можуть виникнути під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 використання води, розроблено 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впроваджено контрольні заходи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уникнення забруднення від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 води (пари, льоду), допоміжних матеріалів дл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 переробки харчових продуктів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(діоксид вуглецю, азот), предметів та матеріалів, що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контактують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35CF521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034C616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39FFE53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A92A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Підпункт 6 пункту 8.2.1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122A992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2.8.3</w:t>
            </w:r>
          </w:p>
          <w:p w14:paraId="49CFFC70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2.8 розділу ІІ</w:t>
            </w:r>
          </w:p>
          <w:p w14:paraId="4B142995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75CA0DB8" w14:textId="77777777" w:rsidTr="00FB2B11">
        <w:trPr>
          <w:gridAfter w:val="2"/>
          <w:wAfter w:w="692" w:type="pct"/>
          <w:trHeight w:val="154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A987317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EEDA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Система моніторингу води враховує джерело водопостачання та, за потреби, враховує сезонні коливання, діяльність інших опе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раторів ринку та природні умови</w:t>
            </w:r>
          </w:p>
          <w:p w14:paraId="116F1590" w14:textId="77777777" w:rsidR="00066C7E" w:rsidRPr="00EF4990" w:rsidRDefault="00066C7E" w:rsidP="0004073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D9AEC28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  <w:r w:rsidR="00696E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4.3. Програмою-передумовою щодо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безпечності води (льоду) визначено джерело водопостачання (водопровідна мережа чи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696E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свердловина)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пов’язані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ним ризики, відповідність умов зберігання води, стан водопровідної мережі на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потужності, підготовку води до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використання, спосіб використання води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неможливість перехресного забруднення через контактні поверхні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B62B93C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56912A1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AFC909D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C6FA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Підпунк</w:t>
            </w:r>
            <w:r w:rsidR="008978B6"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 4 пункту 8.2.1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7924D0C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2.8.4</w:t>
            </w:r>
          </w:p>
          <w:p w14:paraId="52A2924F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2.8 розділу ІІ</w:t>
            </w:r>
          </w:p>
          <w:p w14:paraId="41D3CF72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449FF0D0" w14:textId="77777777" w:rsidTr="00FB2B11">
        <w:trPr>
          <w:gridAfter w:val="2"/>
          <w:wAfter w:w="692" w:type="pct"/>
          <w:trHeight w:val="100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37D4CB8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18DE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Система моніторингу води та стану водопроводу впроваджена</w:t>
            </w:r>
          </w:p>
          <w:p w14:paraId="4DC7D750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69BE9AA" w14:textId="77777777" w:rsidR="00066C7E" w:rsidRPr="00EF4990" w:rsidRDefault="00066C7E" w:rsidP="00696EFA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1.4.4. Процедури вхідного контролю води, </w:t>
            </w:r>
            <w:proofErr w:type="spellStart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водопідготовки</w:t>
            </w:r>
            <w:proofErr w:type="spellEnd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696E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процедури, спрямовані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підтримання у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належному стані системи водопостачання, ремонт, технічний огляд, прибирання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дезінфекція водопроводів за потреби запроваджено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65FCAD1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3F48646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6CFF6CF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2B3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Підпункт 3 пункту 8.2.1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771CC26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2.8.5</w:t>
            </w:r>
          </w:p>
          <w:p w14:paraId="63B1C6D0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2.8 розділу ІІ</w:t>
            </w:r>
          </w:p>
          <w:p w14:paraId="362500E4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0AEFB5C4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6E62810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1.4.5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D91D" w14:textId="77777777" w:rsidR="00480E90" w:rsidRPr="007B1C2D" w:rsidRDefault="00480E90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23E4E535" w14:textId="77777777" w:rsidR="00066C7E" w:rsidRPr="00EF4990" w:rsidRDefault="00066C7E" w:rsidP="00696EFA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F39FA86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1.4.5. Використання інших допоміжних речовин (інертні газ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и, діоксид вуглецю, розчини) не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загрожує безпечності харчових продуктів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E4C991C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B9A8404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C753CF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B8B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B187A30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2.8.6</w:t>
            </w:r>
          </w:p>
          <w:p w14:paraId="55146358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2.8 розділу ІІ</w:t>
            </w:r>
          </w:p>
          <w:p w14:paraId="0A3413FE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633DF4F1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91CE66A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2B8D" w14:textId="77777777" w:rsidR="00480E90" w:rsidRPr="007B1C2D" w:rsidRDefault="00480E90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6B539F28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0DA0B2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1.4.6. Документальне підтвердження на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 допоміжних матеріалів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переробки харчових продуктів, предметів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матеріалів, що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контактують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наявне, оцінку можливих ризиків, які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можуть виникнути внаслідок використання допоміжних матеріалів для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переробки харчових продуктів, предметів та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матеріалів, що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контактують з</w:t>
            </w:r>
            <w:r w:rsidR="001974B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проведено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FDA7426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AA6CB71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BD7A5A3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3429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BAFC97B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2.8.7</w:t>
            </w:r>
          </w:p>
          <w:p w14:paraId="01D1638E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2.8 розділу ІІ</w:t>
            </w:r>
          </w:p>
          <w:p w14:paraId="58E4F954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59EF6ECB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AEAA1D5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1E0" w14:textId="77777777" w:rsidR="00480E90" w:rsidRPr="007B1C2D" w:rsidRDefault="00480E90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5C04F4FC" w14:textId="77777777" w:rsidR="00066C7E" w:rsidRPr="00EF4990" w:rsidRDefault="00066C7E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5375611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1.4.7. Контрольні заходи для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уникнення негативного впливу на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продукти розроблено та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6EDA0F1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544246E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2365292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973D" w14:textId="77777777" w:rsidR="00066C7E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658BDBA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2.8.8</w:t>
            </w:r>
          </w:p>
          <w:p w14:paraId="657355BF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2.8 розділу ІІ</w:t>
            </w:r>
          </w:p>
          <w:p w14:paraId="14AD5DAD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28195E" w:rsidRPr="00EF4990" w14:paraId="464F0106" w14:textId="77777777" w:rsidTr="000D2EF2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17A3D62" w14:textId="77777777" w:rsidR="0028195E" w:rsidRPr="00EF4990" w:rsidRDefault="0028195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B80F" w14:textId="77777777" w:rsidR="0028195E" w:rsidRPr="00EF4990" w:rsidRDefault="0028195E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Програма-передумова системи НАССР щодо чистоти </w:t>
            </w:r>
            <w:r w:rsidR="00F75121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поверхонь, процедур прибирання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виробничих, допоміжних, побутових приміщень та інших поверхонь</w:t>
            </w:r>
          </w:p>
        </w:tc>
      </w:tr>
      <w:tr w:rsidR="00BF2689" w:rsidRPr="00EF4990" w14:paraId="44F8B0E5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FE71A65" w14:textId="77777777" w:rsidR="00066C7E" w:rsidRPr="00EF4990" w:rsidRDefault="00066C7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7F04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Процедури прибирання враховують наявність </w:t>
            </w:r>
            <w:r w:rsidR="003753C3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безпосереднього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чи опосередкованого контакт п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оверхонь з харчовими продуктами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ED18CA0" w14:textId="77777777" w:rsidR="00066C7E" w:rsidRPr="00EF4990" w:rsidRDefault="00066C7E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1.5.1. Процедури при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бирання та способи прибирання,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миття і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696E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дезінфекції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696E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потреби) визначено,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задокументовано і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80CBD99" w14:textId="77777777" w:rsidR="00066C7E" w:rsidRPr="00EF4990" w:rsidRDefault="00066C7E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BD290F1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80F38DA" w14:textId="77777777" w:rsidR="00066C7E" w:rsidRPr="00EF4990" w:rsidRDefault="00066C7E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216" w14:textId="77777777" w:rsidR="008978B6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</w:p>
          <w:p w14:paraId="07C82F9B" w14:textId="77777777" w:rsidR="008978B6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 – 3</w:t>
            </w:r>
          </w:p>
          <w:p w14:paraId="25D6F94B" w14:textId="77777777" w:rsidR="00066C7E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 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3267DA0" w14:textId="77777777" w:rsidR="003F78DD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 </w:t>
            </w:r>
          </w:p>
          <w:p w14:paraId="36AE32A0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2.9.1, 2.9.2 пункту 2.9 розділу ІІ</w:t>
            </w:r>
          </w:p>
          <w:p w14:paraId="53D8F340" w14:textId="77777777" w:rsidR="00066C7E" w:rsidRPr="00EF4990" w:rsidRDefault="00066C7E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FAE3245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3A72872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1.5..2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5C6F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Процедура миття та дезінфек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ції містить усі необхідні етапи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131B896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B83170D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F182F4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DDAA3AA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87AC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 9.1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F2C64C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194D34B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8CB40AE" w14:textId="77777777" w:rsidR="004A30E9" w:rsidRPr="00EF4990" w:rsidRDefault="004A30E9" w:rsidP="005D28E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3538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Інструкції виробника з прибирання обладнан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ня, у разі наявності,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66F6F4D" w14:textId="77777777" w:rsidR="004A30E9" w:rsidRPr="00EF4990" w:rsidRDefault="004A30E9" w:rsidP="005D28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C0D9B29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066AF4" w14:textId="77777777" w:rsidR="004A30E9" w:rsidRPr="00EF4990" w:rsidRDefault="004A30E9" w:rsidP="005D28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E42049B" w14:textId="77777777" w:rsidR="004A30E9" w:rsidRPr="00EF4990" w:rsidRDefault="004A30E9" w:rsidP="005D28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92B6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9.2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E84393D" w14:textId="77777777" w:rsidR="004A30E9" w:rsidRPr="00EF4990" w:rsidRDefault="004A30E9" w:rsidP="005D28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2151861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57AC115" w14:textId="77777777" w:rsidR="004A30E9" w:rsidRPr="00EF4990" w:rsidRDefault="004A30E9" w:rsidP="00E473A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1E7E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 xml:space="preserve">Під час прибирання холодильників температурний режим харчових 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продуктів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CF495C5" w14:textId="77777777" w:rsidR="004A30E9" w:rsidRPr="00EF4990" w:rsidRDefault="004A30E9" w:rsidP="00E473A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E22AA23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E5FF6C" w14:textId="77777777" w:rsidR="004A30E9" w:rsidRPr="00EF4990" w:rsidRDefault="004A30E9" w:rsidP="00E473A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C848BB5" w14:textId="77777777" w:rsidR="004A30E9" w:rsidRPr="00EF4990" w:rsidRDefault="004A30E9" w:rsidP="00E473A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E72" w14:textId="77777777" w:rsidR="004A30E9" w:rsidRPr="00EF4990" w:rsidRDefault="004A30E9" w:rsidP="003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Підпункт 2 пункту 9.2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763FE06" w14:textId="77777777" w:rsidR="004A30E9" w:rsidRPr="00EF4990" w:rsidRDefault="004A30E9" w:rsidP="00E473A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48706DE7" w14:textId="77777777" w:rsidTr="008F1738">
        <w:trPr>
          <w:gridAfter w:val="2"/>
          <w:wAfter w:w="692" w:type="pct"/>
          <w:trHeight w:val="49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E54FFCD" w14:textId="77777777" w:rsidR="004A30E9" w:rsidRPr="00EF4990" w:rsidRDefault="004A30E9" w:rsidP="00E473A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4F03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Прибирання контейнерів для сміття проводиться регулярно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7720387" w14:textId="77777777" w:rsidR="004A30E9" w:rsidRPr="00EF4990" w:rsidRDefault="004A30E9" w:rsidP="00E473A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BFE18EE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E0F0F7F" w14:textId="77777777" w:rsidR="004A30E9" w:rsidRPr="00EF4990" w:rsidRDefault="004A30E9" w:rsidP="00E473A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D234FC" w14:textId="77777777" w:rsidR="004A30E9" w:rsidRPr="00EF4990" w:rsidRDefault="004A30E9" w:rsidP="00E473A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63B7" w14:textId="77777777" w:rsidR="004A30E9" w:rsidRPr="00EF4990" w:rsidRDefault="004A30E9" w:rsidP="003F7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Підпункт 3 пункту 9.2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EC937DA" w14:textId="77777777" w:rsidR="004A30E9" w:rsidRPr="00EF4990" w:rsidRDefault="004A30E9" w:rsidP="00E473A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08B66AFF" w14:textId="77777777" w:rsidTr="00FB2B11">
        <w:trPr>
          <w:gridAfter w:val="2"/>
          <w:wAfter w:w="692" w:type="pct"/>
          <w:trHeight w:val="72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C350A3E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9F67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Процедури прибирання підлоги, стелі вентиляції, духовок та інших поверхонь для термічної обробки визначені на основі оцінки ризиків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9ADF2B4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144DDC0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9FBDA0D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E9139D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67A4" w14:textId="77777777" w:rsidR="003F78DD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Підпункти </w:t>
            </w:r>
          </w:p>
          <w:p w14:paraId="7E6EF749" w14:textId="77777777" w:rsidR="003F78DD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4 і 5 </w:t>
            </w:r>
          </w:p>
          <w:p w14:paraId="02119D57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 9.2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8CDC2C8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6E78A5E9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9337840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1142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 xml:space="preserve">Перелік поверхонь з інформацією про порядок їх прибирання 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складено. Процедури застосовано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937DAEE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ED6C104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FB7872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EC8AEB2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C01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9.2.2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CF06C54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2E1439D9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81BBDB" w14:textId="77777777" w:rsidR="004A30E9" w:rsidRPr="00EF4990" w:rsidRDefault="004A30E9" w:rsidP="006625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7CB9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Окремий для кожної зони інвентар для прибирання визначено, він зберігається у відповідних зонах та використовується у спосіб, що запобігає уни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кненню перехресного забруднення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C8DBFF0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1.5.2. Засоби та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нтар для прибирання позначені.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Мийні та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дезінфекційні засоби є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ефективними для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696E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застосування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визначених специфічних умовах та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 їх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належного використання не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становлять загрози безпечності харчових продуктів. Інвентар для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прибирання застосовується за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призначенням, є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стійким до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середовища, у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якому використовується, зберігається у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спосіб, що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виключає загрозу перехресного забруднення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5094868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02B9F1D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483F381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58C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6 пункту 9.2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B57BDF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2.9.3 пункту 2.9 розділу ІІ</w:t>
            </w:r>
          </w:p>
          <w:p w14:paraId="4020316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661D4B3D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8FC1638" w14:textId="77777777" w:rsidR="004A30E9" w:rsidRPr="00EF4990" w:rsidRDefault="004A30E9" w:rsidP="006625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3AC2" w14:textId="77777777" w:rsidR="004A30E9" w:rsidRPr="00EF4990" w:rsidRDefault="004A30E9" w:rsidP="00696EFA">
            <w:pPr>
              <w:spacing w:before="120" w:after="120" w:line="24" w:lineRule="atLeast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 xml:space="preserve">Запобігання перехресного забруднення через матеріали, </w:t>
            </w: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lastRenderedPageBreak/>
              <w:t>призначені для миття робочих поверхонь, такі як рушник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и, ганчірки, губки, забезпечено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CF40B33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95EA4DB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highlight w:val="yellow"/>
                <w:lang w:val="uk-UA"/>
              </w:rPr>
            </w:pPr>
            <w:r w:rsidRPr="00EF4990">
              <w:rPr>
                <w:color w:val="auto"/>
                <w:lang w:val="uk-UA"/>
              </w:rPr>
              <w:t xml:space="preserve">Щоквартально або при </w:t>
            </w:r>
            <w:r w:rsidRPr="00EF4990">
              <w:rPr>
                <w:color w:val="auto"/>
                <w:lang w:val="uk-UA"/>
              </w:rPr>
              <w:lastRenderedPageBreak/>
              <w:t>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EE72CD0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5AF1DCE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D3A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9.2.1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163360C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918198A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CDC5E0C" w14:textId="77777777" w:rsidR="004A30E9" w:rsidRPr="00EF4990" w:rsidRDefault="004A30E9" w:rsidP="006625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A1A3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Існують докази того, що при виборі методів прибирання було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 xml:space="preserve"> проаналізовано їх ефективність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15DBA9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1.5.4. Частоту проведе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ння застосовуваного оператором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ринку виду пр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ибирання, миття чи дезінфекції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визначено на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основі оцінки ризиків. Докази встановлення оператором ринку частоти прибирання, миття та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дезінфекції, достатніх для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підтримання поверхні у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належному стані, що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призводить до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забруднення харчових продуктів, надано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B98962C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7C5DD2B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CC29A8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A11" w14:textId="77777777" w:rsidR="003F78DD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Пункти </w:t>
            </w:r>
          </w:p>
          <w:p w14:paraId="7887BCAA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9.3.1 та 9.3.3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A5DB255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2.9.4 пункту 2.9 розділу ІІ</w:t>
            </w:r>
          </w:p>
          <w:p w14:paraId="478F21FF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1A0699DE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C989E2D" w14:textId="77777777" w:rsidR="004A30E9" w:rsidRPr="00EF4990" w:rsidRDefault="004A30E9" w:rsidP="006625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1.5.11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CC0F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Персонал, який здійснює миття та дезінфекц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ію, пройшов відповідне навчання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4B93FA1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1.5.5. Забезпечено належний рівень кваліфікації персоналу. Персонал, який здійснює прибирання, миття та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дезінфекцію, має відповідні знання та підготовку. Перевірку виконання процедур прибирання, миття та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дезінфекції здійснює персонал, який не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залучений до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 цих процедур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1CAD7B6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DC21AE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A8E520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AF0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9.4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960B39B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2.9.5 пункту 2.9 розділу ІІ</w:t>
            </w:r>
          </w:p>
          <w:p w14:paraId="5DD6F1C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5B939A73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A499811" w14:textId="77777777" w:rsidR="004A30E9" w:rsidRPr="00EF4990" w:rsidRDefault="004A30E9" w:rsidP="006625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1.5.12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836A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Проводиться періодична верифікація застосування процедур прибирання, щоб пересвідчитись, що все виконуєтьс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я правильно, а засоби ефективні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5CD5F0A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1.5.7. Докази того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що всі процедури прибирання,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миття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дезінфекції здійсн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юються з</w:t>
            </w:r>
            <w:r w:rsidR="0030582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відповідною частотою 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є ефективними (візуальний огляд, лабораторний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моніторинг), надано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2C3BAD5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9E339B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D2943F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6EB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9.3.2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3763FCD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2.9.6 пункту 2.9 розділу ІІ</w:t>
            </w:r>
          </w:p>
          <w:p w14:paraId="4A7A942F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2766CF1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89923A4" w14:textId="77777777" w:rsidR="004A30E9" w:rsidRPr="00EF4990" w:rsidRDefault="004A30E9" w:rsidP="0066254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1.5.13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19B4" w14:textId="77777777" w:rsidR="00480E90" w:rsidRPr="007B1C2D" w:rsidRDefault="00480E90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астановах, перевіряти за вимогою Наказу </w:t>
            </w:r>
            <w:r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7B1C2D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</w:t>
            </w:r>
          </w:p>
          <w:p w14:paraId="305BE10A" w14:textId="77777777" w:rsidR="004A30E9" w:rsidRPr="00EF4990" w:rsidRDefault="004A30E9" w:rsidP="00696EFA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D4FD85" w14:textId="77777777" w:rsidR="004A30E9" w:rsidRPr="00EF4990" w:rsidRDefault="004A30E9" w:rsidP="00696EFA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1.5.8. Коригувальні заходи за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невідповідності процесів прибирання, миття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дезінфекції запроваджено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90EBCB2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569C94A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65BE071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309B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45B972F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2.9.7 пункту 2.9 розділу ІІ</w:t>
            </w:r>
          </w:p>
          <w:p w14:paraId="18C396A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480E90" w:rsidRPr="00EF4990" w14:paraId="386B966C" w14:textId="77777777" w:rsidTr="000D2EF2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43E13D9" w14:textId="77777777" w:rsidR="00480E90" w:rsidRPr="00EF4990" w:rsidRDefault="00480E90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2B72" w14:textId="77777777" w:rsidR="00480E90" w:rsidRPr="00EF4990" w:rsidRDefault="00480E90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 здоров’я та гігієни персоналу</w:t>
            </w:r>
          </w:p>
        </w:tc>
      </w:tr>
      <w:tr w:rsidR="00BF2689" w:rsidRPr="00EF4990" w14:paraId="373D3C2B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767731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50FD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 поведінки працівників дотримано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A7AF0F9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1.6.1. Правила поведінки персоналу, контрактників, відвідувачів, які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можуть прямо чи опосередковано контактувати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відкритим харчовим продуктом, для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запобігання його забрудненню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97B4BFC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A1EDFF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D838D6E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885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8.4.4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CDCEB44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2.10.1 пункту 2.10 розділу ІІ</w:t>
            </w:r>
          </w:p>
          <w:p w14:paraId="223A723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393DA90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33A0554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AD7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Знання персоналу з 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усіх зазначених тем забезпечено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3CFCFC" w14:textId="77777777" w:rsidR="004A30E9" w:rsidRPr="00EF4990" w:rsidRDefault="00292BD1" w:rsidP="00292B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8C20FD6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7E658B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AE715E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8D64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8.4.5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7200CB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07C9692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A348E51" w14:textId="77777777" w:rsidR="004A30E9" w:rsidRPr="00EF4990" w:rsidRDefault="004A30E9" w:rsidP="00FC3B4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A89E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Об’єктивні докази проходження персоналом мед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ичних оглядів наявні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E05A484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1.6.2. Періодичність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сферу проведення медичних оглядів персоналу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урахуванням природи харчо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вих продуктів, технологічних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допоміжних процесів, 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 посадових обов’язків працівників визначено. Проходження працівниками потужності медичних оглядів підтве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рджується (наявність особистих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медичних книжок)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985441B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89285B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820A961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B74B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перший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8.4.1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79A95E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2.10.2 пункту 2.10 розділу ІІ</w:t>
            </w:r>
          </w:p>
          <w:p w14:paraId="7075C11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9D6F3B2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6A9405E" w14:textId="77777777" w:rsidR="004A30E9" w:rsidRPr="00EF4990" w:rsidRDefault="004A30E9" w:rsidP="00FC3B4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548D" w14:textId="77777777" w:rsidR="004A30E9" w:rsidRPr="00292BD1" w:rsidRDefault="00480E90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Настанова</w:t>
            </w:r>
            <w:r w:rsidR="00292BD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8138F8B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1.6.3. Спецодяг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взуття не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несуть загрози забруднення харчових продуктів. Кількість комплектів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спецодягу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взуття достатня. Процедури застосування, чистки 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прання спецодягу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взуття розроблено на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підставі оцінки ризику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176BE09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Щорічно або при змінах у процесі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3652062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9982386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9B66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F31A272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2.10.3 пункту 2.10 розділу ІІ</w:t>
            </w:r>
          </w:p>
          <w:p w14:paraId="0E31DC23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наказу № 590</w:t>
            </w:r>
          </w:p>
        </w:tc>
      </w:tr>
      <w:tr w:rsidR="00BF2689" w:rsidRPr="00EF4990" w14:paraId="6155B8B2" w14:textId="77777777" w:rsidTr="00FB2B11">
        <w:trPr>
          <w:gridAfter w:val="2"/>
          <w:wAfter w:w="692" w:type="pct"/>
          <w:trHeight w:val="29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64FCA5B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1.6.5</w:t>
            </w: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2E4F8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Працівники повідомляють про 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ознаки інфекційних захворювань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E6C4C1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1.6.4. Систему допуску до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роботи, що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запобігає забрудненню харчових продуктів через неналежний стан здоров’я персоналу чи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 невідповідний зовнішній вигляд із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врахуванням природи (виду) продукту 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процесів виробництва, перевірки зовнішнього вигляду персоналу перед початком роботи на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ознак гнійничкових захворювань; повідомлення про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ознаки у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них інфекційних захво</w:t>
            </w:r>
            <w:r w:rsidR="00292BD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рювань чи 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контакти з людьми,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 є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такі ознаки, 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 недопущення до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роботи працівників, які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можуть бути причиною за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бруднення харчових продуктів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пройшли навчання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питань гігієни пер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соналу підтверджено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відповідними записами, впроваджено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116DE9B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566A68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E0EF75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4635B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другий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8.4.1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7D4793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2.10.4 пункту 2.10 розділу ІІ</w:t>
            </w:r>
          </w:p>
          <w:p w14:paraId="7D3B270A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 пункт 1 частини першої статті 48 ЗУ № 771/97-ВР</w:t>
            </w:r>
          </w:p>
        </w:tc>
      </w:tr>
      <w:tr w:rsidR="00BF2689" w:rsidRPr="00EF4990" w14:paraId="19EAAA20" w14:textId="77777777" w:rsidTr="00FB2B11">
        <w:trPr>
          <w:gridAfter w:val="2"/>
          <w:wAfter w:w="692" w:type="pct"/>
          <w:trHeight w:val="290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09B6D7D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2AB" w14:textId="77777777" w:rsidR="004A30E9" w:rsidRPr="00EF4990" w:rsidRDefault="004A30E9" w:rsidP="00292BD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2D8B74A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EFC84AD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87A9ED1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32B73B9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31B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697D59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D56E69F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A8D490B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668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Харчові продукти, з якими контактували працівники з ознаками інфекційних захворювань, є непридатними до використання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55AB4B2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3D306AD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1B3F7F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03D4FE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CE40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третій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8.4.1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4084BF6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187E2B6F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9DA3BD3" w14:textId="77777777" w:rsidR="004A30E9" w:rsidRPr="00EF4990" w:rsidRDefault="004A30E9" w:rsidP="007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F43A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Співробітники з ранами, на руках і на передпліччях, носять пов’язки (колір яких відрізняється від кольору харчових продукт</w:t>
            </w:r>
            <w:r w:rsidR="00292BD1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ів) та одноразові рукавиці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4E74876" w14:textId="77777777" w:rsidR="004A30E9" w:rsidRPr="00EF4990" w:rsidRDefault="004A30E9" w:rsidP="008E1EF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7D3A638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9C7387" w14:textId="77777777" w:rsidR="004A30E9" w:rsidRPr="00EF4990" w:rsidRDefault="004A30E9" w:rsidP="008E1EF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609034B" w14:textId="77777777" w:rsidR="004A30E9" w:rsidRPr="00EF4990" w:rsidRDefault="004A30E9" w:rsidP="008E1EF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AD2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п’ятий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8.4.1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96D7DC2" w14:textId="77777777" w:rsidR="004A30E9" w:rsidRPr="00EF4990" w:rsidRDefault="004A30E9" w:rsidP="008E1EF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09BD977A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B54FE64" w14:textId="77777777" w:rsidR="004A30E9" w:rsidRPr="00EF4990" w:rsidRDefault="004A30E9" w:rsidP="007D596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1D97" w14:textId="77777777" w:rsidR="004A30E9" w:rsidRPr="00EF4990" w:rsidRDefault="00833247" w:rsidP="00292BD1">
            <w:pPr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 xml:space="preserve">Усі скарги на здоров’я </w:t>
            </w:r>
            <w:r w:rsidR="004A30E9"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документуються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D6C0CD5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535458E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7BA544B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24096D0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940A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шостий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8.4.1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2C9FB61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B5E44FB" w14:textId="77777777" w:rsidTr="00FB2B11">
        <w:trPr>
          <w:gridAfter w:val="2"/>
          <w:wAfter w:w="692" w:type="pct"/>
          <w:trHeight w:val="61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968D1A0" w14:textId="77777777" w:rsidR="004A30E9" w:rsidRPr="00EF4990" w:rsidRDefault="004A30E9" w:rsidP="0006018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CAB4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Працівники миють ру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 в усіх встановлених випадках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4F34497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1.6.5. Правила поведінки персоналу, відвідувачів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підрядників на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потужності розроблено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39B2F97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37DB2C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840975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F784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8.4.2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0992473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 2.10.5, 2.10.6 пункту 2.10 розділу ІІ</w:t>
            </w:r>
          </w:p>
          <w:p w14:paraId="5E180AA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39835605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A894745" w14:textId="77777777" w:rsidR="004A30E9" w:rsidRPr="00EF4990" w:rsidRDefault="004A30E9" w:rsidP="0006018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1.6.10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0619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Методику ефе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ктивного миття рук запроваджено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D76B35E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DCBDF2A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3D02B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C9DB949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1610" w14:textId="77777777" w:rsidR="008978B6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</w:p>
          <w:p w14:paraId="4E8D370F" w14:textId="77777777" w:rsidR="008978B6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 – 5</w:t>
            </w:r>
          </w:p>
          <w:p w14:paraId="1A860CB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 8.4.2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3A2D99E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14BCB4F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E87CC90" w14:textId="77777777" w:rsidR="004A30E9" w:rsidRPr="00EF4990" w:rsidRDefault="004A30E9" w:rsidP="0006018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1.6.11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ACD8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 застосування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одноразових рукавиць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656B01C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6AF139D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90480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B27EDCA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F8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8.4.3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E5E4362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907EE" w:rsidRPr="00EF4990" w14:paraId="5B138CA0" w14:textId="77777777" w:rsidTr="000D2EF2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3C38531" w14:textId="77777777" w:rsidR="005907EE" w:rsidRPr="00EF4990" w:rsidRDefault="005907EE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D6E" w14:textId="77777777" w:rsidR="005907EE" w:rsidRPr="00EF4990" w:rsidRDefault="005907EE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 пово</w:t>
            </w:r>
            <w:r w:rsidR="00F75121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дження з відходами виробництва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 сміттям, їх збору та видалення з потужності</w:t>
            </w:r>
          </w:p>
        </w:tc>
      </w:tr>
      <w:tr w:rsidR="00BF2689" w:rsidRPr="00EF4990" w14:paraId="2C1C5ED1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806C3E6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0600" w14:textId="77777777" w:rsidR="004A30E9" w:rsidRPr="00292BD1" w:rsidRDefault="00480E90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Відсутня у Настановах, перевіряти за вимогою </w:t>
            </w:r>
            <w:r w:rsidR="00292BD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Наказу </w:t>
            </w: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47117B9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1.7.1. Встановлені законодавством вимоги щодо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зберігання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утилізації (знищення) харчових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відходів виконуються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1A7F95D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4162080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FE9C5CA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9075" w14:textId="77777777" w:rsidR="004A30E9" w:rsidRPr="00EF4990" w:rsidRDefault="00292BD1" w:rsidP="00292BD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B938336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2.11.1 пункту 2.11 розділу ІІ</w:t>
            </w:r>
          </w:p>
          <w:p w14:paraId="151D9CFD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наказу № 590; пункт 3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першої статті 46 ЗУ № 771/97-ВР</w:t>
            </w:r>
          </w:p>
        </w:tc>
      </w:tr>
      <w:tr w:rsidR="00BF2689" w:rsidRPr="00EF4990" w14:paraId="4D98A0FB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76E47A6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8F56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Відходи збираються у спеціально марковані контейнери, обладнані кришкою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BEA9C87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1.7.2. Інформація про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місця збору відходів у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зонах поводження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 наявна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83A90F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FF958E6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D44F16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EF89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11.1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1F42E04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2.11.2 пункту 2.11 розділу ІІ</w:t>
            </w:r>
          </w:p>
          <w:p w14:paraId="4F9621B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555F66" w:rsidRPr="00EF4990" w14:paraId="4F96A595" w14:textId="77777777" w:rsidTr="00555F66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36490CD" w14:textId="77777777" w:rsidR="00555F66" w:rsidRPr="00EF4990" w:rsidRDefault="00555F66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FD95" w14:textId="77777777" w:rsidR="00555F66" w:rsidRPr="00EF4990" w:rsidRDefault="00555F66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Харчові та побутові відходи, незалежно від обсягу наповнення контейнерів, щодня з належною періодичністю виносять із зон поводження з харчовими продуктами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DF439BC" w14:textId="77777777" w:rsidR="00555F66" w:rsidRPr="00EF4990" w:rsidRDefault="00555F66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1.7.3. Визначено графіки 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способи вивезення відходів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приміщень, 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 здійснюється поводження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метою уникнення 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накопичення 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урахуванням можливості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перехресного забруднення продуктів під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 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вивезення.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Харчові відходи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розміщено 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закритих контейнерах, сконструйованих таким чином, щоб забезпечити максимальний рівень захисту 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дезінфекцію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D57BDD5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Щоденно</w:t>
            </w:r>
          </w:p>
          <w:p w14:paraId="0A1A7ABC" w14:textId="77777777" w:rsidR="00555F66" w:rsidRPr="00EF4990" w:rsidRDefault="00555F66" w:rsidP="000D2EF2">
            <w:pPr>
              <w:pStyle w:val="a3"/>
              <w:spacing w:line="240" w:lineRule="auto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4E3366B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BAB8296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748E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2 пункту 11.1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82D5109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2.11.3 пункту 2.11 розділу ІІ</w:t>
            </w:r>
          </w:p>
          <w:p w14:paraId="7D8AC438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наказу № 590; пункти 1, 2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першої статті 46 ЗУ № 771/97-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ВР</w:t>
            </w:r>
          </w:p>
        </w:tc>
      </w:tr>
      <w:tr w:rsidR="00555F66" w:rsidRPr="00EF4990" w14:paraId="19D9BB57" w14:textId="77777777" w:rsidTr="00555F66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5B2E1A" w14:textId="77777777" w:rsidR="00555F66" w:rsidRPr="00EF4990" w:rsidRDefault="00555F66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87A5" w14:textId="77777777" w:rsidR="00555F66" w:rsidRPr="00EF4990" w:rsidRDefault="00555F66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Достатню кількість контейнерів та їх розміщення їх у спеціально відведених для цього </w:t>
            </w:r>
            <w:r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місцях забезпечено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D48383" w14:textId="77777777" w:rsidR="00555F66" w:rsidRPr="00EF4990" w:rsidRDefault="00555F66" w:rsidP="00292BD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DC5DF68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B1866B4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28D5FE" w14:textId="77777777" w:rsidR="00555F66" w:rsidRPr="00EF4990" w:rsidRDefault="00555F66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981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3 пункту 11.1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AF8E799" w14:textId="77777777" w:rsidR="00555F66" w:rsidRPr="00EF4990" w:rsidRDefault="00555F66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8485CDC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0F4BB84" w14:textId="77777777" w:rsidR="004A30E9" w:rsidRPr="00EF4990" w:rsidRDefault="004A30E9" w:rsidP="00017668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98A9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Контейнери, що використовуються для зберігання відходів на території закриваються кришкою, легко миються та дезінфікуються, розташовані на відстані не менше ніж 10 метрів від зон постачання харчових продуктів на потужність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4F5FD8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1.7.4. Визначено місце зберігання відходів за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межами приміщень, де здійснюються операції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вимоги щодо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зберігання відходів дотримуються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A1C89C9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3DE8CD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BCE872D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861E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11.2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D39EC4A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2.11.4 пункту 2.11 розділу ІІ</w:t>
            </w:r>
          </w:p>
          <w:p w14:paraId="422A9FF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11E64F99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B1F6DB8" w14:textId="77777777" w:rsidR="004A30E9" w:rsidRPr="00EF4990" w:rsidRDefault="004A30E9" w:rsidP="00AF212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E0D1" w14:textId="77777777" w:rsidR="004A30E9" w:rsidRPr="00292BD1" w:rsidRDefault="00480E90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Настанова</w:t>
            </w:r>
            <w:r w:rsidR="00292BD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57D9BE0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1.7.5. Забезпеч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ено належний стан контейнерів,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ємностей для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відходів, їх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маркування, очищення,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миття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дезінфекцію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ED1B412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DF5EC42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E75720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260D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6547A5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2.11.5 пункту 2.11 розділу ІІ наказу № 590</w:t>
            </w:r>
          </w:p>
        </w:tc>
      </w:tr>
      <w:tr w:rsidR="00BF2689" w:rsidRPr="00EF4990" w14:paraId="6D67EB62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85AF3" w14:textId="77777777" w:rsidR="004A30E9" w:rsidRPr="00EF4990" w:rsidRDefault="004A30E9" w:rsidP="00AF212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939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Утилізацію відходів згідно з вимогами законодавства забезпечено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CAD97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1.7.6. Відходи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 потужності вивозяться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утилізуються відповідно до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 законодавства. Прибирання, миття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дезінфекцію контейнерів, ємностей для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зовнішнього зберігання відходів проводять окремо від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іншої тари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C6A8B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Щотижня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05DE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ED65B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5BDE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11.2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B2252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2.11.6 пункту 2.11 розділу ІІ</w:t>
            </w:r>
          </w:p>
          <w:p w14:paraId="32E0995A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AF212C" w:rsidRPr="00EF4990" w14:paraId="308A3CDF" w14:textId="77777777" w:rsidTr="000D2EF2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DF8B3" w14:textId="77777777" w:rsidR="00AF212C" w:rsidRPr="00EF4990" w:rsidRDefault="00AF212C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CAA" w14:textId="77777777" w:rsidR="00AF212C" w:rsidRPr="00EF4990" w:rsidRDefault="00AF212C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 контролю за шкідниками, визначення виду, запобігання їх появі, засобів профілактики та боротьби</w:t>
            </w:r>
          </w:p>
        </w:tc>
      </w:tr>
      <w:tr w:rsidR="00BF2689" w:rsidRPr="00EF4990" w14:paraId="5A92DDF0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4E09CF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2486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Види шкідників, характерні для конкретної потужності, та небезпечні фактори, по</w:t>
            </w:r>
            <w:r w:rsidR="00480E90"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в’язані зі шкідниками </w:t>
            </w:r>
            <w:r w:rsidR="00480E90">
              <w:rPr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lastRenderedPageBreak/>
              <w:t>визначено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5146D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1.8.1. Види шкідників, характерні для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певного оператора ринку, визначено. Ведеться результативна боротьба із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шкідниками 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гризунами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D7B15" w14:textId="77777777" w:rsidR="004A30E9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Щорічно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7942B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C10AA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F17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10.1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76CC6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2.12.1 пункту 2.12 розділу ІІ</w:t>
            </w:r>
          </w:p>
          <w:p w14:paraId="5364BC26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наказу № 590; пункт 4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першої статті 49 ЗУ № 771/97-ВР</w:t>
            </w:r>
          </w:p>
        </w:tc>
      </w:tr>
      <w:tr w:rsidR="00BF2689" w:rsidRPr="00EF4990" w14:paraId="3F6370E6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91BC0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D3E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Потужність є в належному стані для обмеження доступу шкідників та запобігання потенційних місць для розмноження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8DAADA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1.8.2. Заходи щодо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запобігання проникненню шкідників на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територію потужності, у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засоби профілактики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боротьби зі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шкідниками, не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загрожують безпечності харчового продукту. Територія потужності облаштована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огороджена, двері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вентиляційні отвори ущільнені,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вікна обладнані захисними сітками від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комах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06A67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EB8E6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8345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867A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10.2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300236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2.12.2 пункту 2.12 розділу ІІ</w:t>
            </w:r>
          </w:p>
          <w:p w14:paraId="18D1B04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17894E92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F05BD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09DD" w14:textId="77777777" w:rsidR="004A30E9" w:rsidRPr="00292BD1" w:rsidRDefault="00480E90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Настанова</w:t>
            </w:r>
            <w:r w:rsidR="00292BD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333D6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1.8.3. Перевірку на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забрудненість шкідниками вхідних партій (допоміжних матер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іалів для переробки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харчових продуктів, предметів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матеріалів, що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</w:t>
            </w:r>
            <w:r w:rsidR="000D2EF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ктують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D2EF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харчовими продуктами)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 до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оцінки ризику забезпечено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85656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4E08F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7941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411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6A33B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2.12.3 пункту 2.12 розділу ІІ</w:t>
            </w:r>
          </w:p>
          <w:p w14:paraId="4DB0ED3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290AE69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97E69F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225A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Засоби контролю шкідників 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становлять загрози продукції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DA034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1.8.4. Маркування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регулярну перевірку всіх засобів боротьби зі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шкідниками забезпечено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7A5A3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A214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B6A1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271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2 пункту 10.2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063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2.12.4 пункту 2.12 розділу ІІ</w:t>
            </w:r>
          </w:p>
          <w:p w14:paraId="3579F3F4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87A298E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FB2A9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BFEE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Заходи з запобігання при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ваблення шкідників запроваджено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0F2B1" w14:textId="77777777" w:rsidR="004A30E9" w:rsidRPr="00EF4990" w:rsidRDefault="004A30E9" w:rsidP="00292BD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B330F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E2C09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2F0F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0F98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3 пункту 10.2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A083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2809903D" w14:textId="77777777" w:rsidTr="00FB2B11">
        <w:trPr>
          <w:gridAfter w:val="2"/>
          <w:wAfter w:w="692" w:type="pct"/>
          <w:trHeight w:val="29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904EC" w14:textId="77777777" w:rsidR="004A30E9" w:rsidRPr="00EF4990" w:rsidRDefault="004A30E9" w:rsidP="009F54C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1.8.6</w:t>
            </w: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ED7DC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Якщо залучаються послуги підрядників, то забезпечено їх звітування про застосовані захо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ди контролю та їх ефективність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BCBCB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1.8.5. Аналіз результатів контрольних заходів 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впровадження ефективних профілактичних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коригувальних заходів забезпечено. О</w:t>
            </w:r>
            <w:r w:rsidR="000D2EF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труйні приманки у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0D2EF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приміщеннях,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 здійснюються операції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 (непереробленими, частково переробленими або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переробленими), допоміжними матеріалами для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переробки харчових продуктів, предметами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матеріалами, що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контактують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не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використовуються. Заходи контролю шкідників спрямовані на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запобігання їх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проникненню у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приміщення, де проводяться технологічні чи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допоміжні процеси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5FF6A" w14:textId="77777777" w:rsidR="004A30E9" w:rsidRPr="00EF4990" w:rsidRDefault="004A30E9" w:rsidP="000D2EF2">
            <w:pPr>
              <w:pStyle w:val="a3"/>
              <w:spacing w:line="240" w:lineRule="auto"/>
              <w:jc w:val="center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за потреби</w:t>
            </w: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F4691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05A31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0E48A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10.3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C5AB3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2.12.5 пункту 2.12 розділу ІІ</w:t>
            </w:r>
          </w:p>
          <w:p w14:paraId="7A805353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664362F2" w14:textId="77777777" w:rsidTr="00FB2B11">
        <w:trPr>
          <w:gridAfter w:val="2"/>
          <w:wAfter w:w="692" w:type="pct"/>
          <w:trHeight w:val="290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F3C05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46B6" w14:textId="77777777" w:rsidR="004A30E9" w:rsidRPr="00EF4990" w:rsidRDefault="004A30E9" w:rsidP="006B33F0">
            <w:pPr>
              <w:pStyle w:val="TableTABL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B851D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E90EF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4B142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0717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812C" w14:textId="77777777" w:rsidR="004A30E9" w:rsidRPr="00EF4990" w:rsidRDefault="004A30E9" w:rsidP="00FE1FAA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175DC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63370CA7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7B894" w14:textId="77777777" w:rsidR="004A30E9" w:rsidRPr="00EF4990" w:rsidRDefault="004A30E9" w:rsidP="009F54C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1.8.7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D75C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Незалежно від умов співпраці з підрядником, оператор ринку забезпечує ефективність контроль</w:t>
            </w:r>
            <w:r w:rsidR="00480E90">
              <w:rPr>
                <w:rFonts w:ascii="Times New Roman" w:eastAsia="DIN-Regular" w:hAnsi="Times New Roman" w:cs="Times New Roman"/>
                <w:bCs/>
                <w:sz w:val="24"/>
                <w:szCs w:val="24"/>
              </w:rPr>
              <w:t>них заходів та знання персоналу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2DD36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2D0C9A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93B52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5AEA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0BCA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10.4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33D63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056595" w:rsidRPr="00EF4990" w14:paraId="51F99DD4" w14:textId="77777777" w:rsidTr="000D2EF2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D4F17" w14:textId="77777777" w:rsidR="00056595" w:rsidRPr="00EF4990" w:rsidRDefault="00056595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1.9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F8D4" w14:textId="77777777" w:rsidR="00056595" w:rsidRPr="00EF4990" w:rsidRDefault="00056595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</w:t>
            </w:r>
            <w:r w:rsidR="00480E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ССР щодо безпечного зберігання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та використання токсичних </w:t>
            </w:r>
            <w:proofErr w:type="spellStart"/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сполук</w:t>
            </w:r>
            <w:proofErr w:type="spellEnd"/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і речовин</w:t>
            </w:r>
          </w:p>
        </w:tc>
      </w:tr>
      <w:tr w:rsidR="00BF2689" w:rsidRPr="00EF4990" w14:paraId="620FB617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8AC6C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1.9.1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657" w14:textId="77777777" w:rsidR="004A30E9" w:rsidRPr="00292BD1" w:rsidRDefault="00480E90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Настанова</w:t>
            </w:r>
            <w:r w:rsidR="00292BD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9423B" w14:textId="77777777" w:rsidR="004A30E9" w:rsidRPr="00EF4990" w:rsidRDefault="000D2EF2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1.9.1. Перелік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сполук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використовуються 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можуть загрожувати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безпечності харчових продуктів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(зокрема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мийні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дезінфекційні засоби,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приманки для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шкідників, реагенти тощо), визначено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E971E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830E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87040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FD6D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B50A15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2.13.1 пункту 2.13 розділу ІІ</w:t>
            </w:r>
          </w:p>
          <w:p w14:paraId="7050AD27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358AC5D0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97330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1.9.2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251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Токсичні речовини (мийні засоби, дезінфектанти і т.</w:t>
            </w:r>
            <w:r w:rsidR="0029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п.) зберігаються </w:t>
            </w:r>
            <w:proofErr w:type="spellStart"/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відо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кремлено</w:t>
            </w:r>
            <w:proofErr w:type="spellEnd"/>
            <w:r w:rsidR="00480E90">
              <w:rPr>
                <w:rFonts w:ascii="Times New Roman" w:hAnsi="Times New Roman" w:cs="Times New Roman"/>
                <w:sz w:val="24"/>
                <w:szCs w:val="24"/>
              </w:rPr>
              <w:t xml:space="preserve"> від харчових продуктів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F7B03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1.9.2. Розробку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 правил приймання і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зберігання токсичних </w:t>
            </w:r>
            <w:proofErr w:type="spellStart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сполук</w:t>
            </w:r>
            <w:proofErr w:type="spellEnd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та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речовин, їх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облік, застосування та постачання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(д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оставку) визначеним способом у з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они використання забезпечено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EF6E8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lastRenderedPageBreak/>
              <w:t>Щотижня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313C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B5A2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F989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перший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12.4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ACA2D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 xml:space="preserve">2.13.2–2.13.4 пункту 2.13 розділу ІІ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наказу № 590</w:t>
            </w:r>
          </w:p>
        </w:tc>
      </w:tr>
      <w:tr w:rsidR="00BF2689" w:rsidRPr="00EF4990" w14:paraId="4AD5F0C8" w14:textId="77777777" w:rsidTr="008F1738">
        <w:trPr>
          <w:gridAfter w:val="2"/>
          <w:wAfter w:w="692" w:type="pct"/>
          <w:trHeight w:val="76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38F83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4AFC" w14:textId="77777777" w:rsidR="004A30E9" w:rsidRPr="00EF4990" w:rsidRDefault="004A30E9" w:rsidP="00292BD1">
            <w:pPr>
              <w:pStyle w:val="aff9"/>
              <w:spacing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При приготуванні розчинів чи для безпечного поводження з речовинами викори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стовуються інструкції виробника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AA0CD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7D109" w14:textId="77777777" w:rsidR="004A30E9" w:rsidRPr="00EF4990" w:rsidRDefault="00833247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B03B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A34DB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AA4B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другий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8978B6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 12.4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3FF4D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48A95C23" w14:textId="77777777" w:rsidTr="00FB2B11">
        <w:trPr>
          <w:gridAfter w:val="2"/>
          <w:wAfter w:w="692" w:type="pct"/>
          <w:trHeight w:val="11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31142" w14:textId="77777777" w:rsidR="004A30E9" w:rsidRPr="00EF4990" w:rsidRDefault="004A30E9" w:rsidP="0024389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1.9.4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A55" w14:textId="77777777" w:rsidR="004A30E9" w:rsidRPr="00292BD1" w:rsidRDefault="00480E90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Настанова</w:t>
            </w:r>
            <w:r w:rsidR="00292BD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9C20D" w14:textId="77777777" w:rsidR="004A30E9" w:rsidRPr="00EF4990" w:rsidRDefault="00833247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1.9.3. До роботи з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токсичними спо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луками та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речовинами допускається тільки персонал, який пройшов відповідне навчання.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Правила безпечного поводження з токсичними сполуками та речовинами, дії у разі неправильного поводження з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ми задокументовані, доведені до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відома персоналу, який працює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такими речовинами, та розміщені у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х, де здійснюється поводження з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63806" w14:textId="77777777" w:rsidR="004A30E9" w:rsidRPr="00EF4990" w:rsidRDefault="00833247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02D1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E0526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5514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04A4AD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2.13.5 пункту 2.13</w:t>
            </w:r>
          </w:p>
          <w:p w14:paraId="552E5477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 ІІ</w:t>
            </w:r>
          </w:p>
          <w:p w14:paraId="6D6B4E57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4F3122" w:rsidRPr="00EF4990" w14:paraId="7AE44C7C" w14:textId="77777777" w:rsidTr="000D2EF2">
        <w:trPr>
          <w:gridAfter w:val="2"/>
          <w:wAfter w:w="692" w:type="pct"/>
          <w:trHeight w:val="2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440805C" w14:textId="77777777" w:rsidR="004F3122" w:rsidRPr="00EF4990" w:rsidRDefault="004F3122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1480" w14:textId="77777777" w:rsidR="004F3122" w:rsidRPr="00EF4990" w:rsidRDefault="004F3122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 специфікації та контролю постачальників</w:t>
            </w:r>
          </w:p>
        </w:tc>
      </w:tr>
      <w:tr w:rsidR="00BF2689" w:rsidRPr="00EF4990" w14:paraId="679803A2" w14:textId="77777777" w:rsidTr="00FB2B11">
        <w:trPr>
          <w:gridAfter w:val="2"/>
          <w:wAfter w:w="692" w:type="pct"/>
          <w:trHeight w:val="136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3573705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8BF6" w14:textId="77777777" w:rsidR="004A30E9" w:rsidRPr="00EF4990" w:rsidRDefault="004A30E9" w:rsidP="00292BD1">
            <w:pPr>
              <w:spacing w:before="120" w:after="120" w:line="24" w:lineRule="atLeast"/>
              <w:ind w:left="57" w:right="57" w:firstLine="2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z w:val="24"/>
                <w:szCs w:val="24"/>
              </w:rPr>
              <w:t>Потребу у харчових продуктах визначено та закупівлі сплановано для забезпечення належної кількості запасів. Систему використання в першу чергу партій сировини, які ближчі до кінця терміну придатності («</w:t>
            </w:r>
            <w:proofErr w:type="spellStart"/>
            <w:r w:rsidRPr="00EF4990">
              <w:rPr>
                <w:rFonts w:ascii="Times New Roman" w:hAnsi="Times New Roman" w:cs="Times New Roman"/>
                <w:i/>
                <w:sz w:val="24"/>
                <w:szCs w:val="24"/>
              </w:rPr>
              <w:t>first</w:t>
            </w:r>
            <w:proofErr w:type="spellEnd"/>
            <w:r w:rsidRPr="00EF49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4990">
              <w:rPr>
                <w:rFonts w:ascii="Times New Roman" w:hAnsi="Times New Roman" w:cs="Times New Roman"/>
                <w:i/>
                <w:sz w:val="24"/>
                <w:szCs w:val="24"/>
              </w:rPr>
              <w:t>expires</w:t>
            </w:r>
            <w:proofErr w:type="spellEnd"/>
            <w:r w:rsidRPr="00EF49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F4990">
              <w:rPr>
                <w:rFonts w:ascii="Times New Roman" w:hAnsi="Times New Roman" w:cs="Times New Roman"/>
                <w:i/>
                <w:sz w:val="24"/>
                <w:szCs w:val="24"/>
              </w:rPr>
              <w:t>first</w:t>
            </w:r>
            <w:proofErr w:type="spellEnd"/>
            <w:r w:rsidRPr="00EF49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4990">
              <w:rPr>
                <w:rFonts w:ascii="Times New Roman" w:hAnsi="Times New Roman" w:cs="Times New Roman"/>
                <w:i/>
                <w:sz w:val="24"/>
                <w:szCs w:val="24"/>
              </w:rPr>
              <w:t>out</w:t>
            </w:r>
            <w:proofErr w:type="spellEnd"/>
            <w:r w:rsidR="00480E90">
              <w:rPr>
                <w:rFonts w:ascii="Times New Roman" w:hAnsi="Times New Roman" w:cs="Times New Roman"/>
                <w:bCs/>
                <w:sz w:val="24"/>
                <w:szCs w:val="24"/>
              </w:rPr>
              <w:t>) впроваджено</w:t>
            </w:r>
          </w:p>
          <w:p w14:paraId="1E9451B5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B0F5177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1.10.1. Контрольні зах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оди щодо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зменшення ризику з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абруднення харчових продуктів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разі неприйнятності непереробл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ених, частково перероблених або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перероблених харчових проду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ктів, допоміжних матеріалів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переробки харчових продуктів, предметів </w:t>
            </w:r>
            <w:r w:rsidR="00833247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 матеріалів, що контактують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розроблено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5B50B5C" w14:textId="77777777" w:rsidR="004A30E9" w:rsidRPr="00EF4990" w:rsidRDefault="00833247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D81AD0E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D8A36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ABD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12.1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C9FDC1B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2.14.1 пункту 2.14 розділу ІІ</w:t>
            </w:r>
          </w:p>
          <w:p w14:paraId="4BCBE18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19B6B9AF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DD046E7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1.10.2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8B8" w14:textId="77777777" w:rsidR="000D2EF2" w:rsidRPr="000D2EF2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0D2EF2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Перевіряти за вимогою Наказу </w:t>
            </w:r>
            <w:r w:rsidR="000D2EF2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0D2EF2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446.</w:t>
            </w:r>
          </w:p>
          <w:p w14:paraId="1B52EBA7" w14:textId="77777777" w:rsidR="004A30E9" w:rsidRPr="00EF4990" w:rsidRDefault="004A30E9" w:rsidP="00292BD1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D2EF2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Слід брати до уваги, що вимоги до сировини затверджуються на етапі відбору постачальників і не завжди є в</w:t>
            </w:r>
            <w:r w:rsidR="00480E90" w:rsidRPr="000D2EF2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ідповідальністю оператора ринку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7273338" w14:textId="77777777" w:rsidR="004A30E9" w:rsidRPr="00EF4990" w:rsidRDefault="00210771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1.10.2. Вимоги до н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епереробл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ених, частково перероблених або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перероблених харчових продуктів, пакувальних матері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алів встановлено та узгоджено з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постачальниками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5E4C51C" w14:textId="77777777" w:rsidR="004A30E9" w:rsidRPr="00EF4990" w:rsidRDefault="00B12EB0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46A8DE1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6D1A7E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7D51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A2E5BB4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2.14.2 пункту 2.14 розділу ІІ</w:t>
            </w:r>
          </w:p>
          <w:p w14:paraId="4F80C29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400B6BE3" w14:textId="77777777" w:rsidTr="00FB2B11">
        <w:trPr>
          <w:gridAfter w:val="2"/>
          <w:wAfter w:w="692" w:type="pct"/>
          <w:trHeight w:val="154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1FE2E57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892F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Процес приймання сировини проводять працівники з відповідними знаннями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34FB826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1.10.3. Процедури вхідного кон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тролю допоміжних матеріалів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переробки х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арчових продуктів, предметів та матеріалів, що контактують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ми, розроблено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впроваджено. Приймання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об’єктів санітарних заходів, що використовуються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виробництва харчових продуктів, після переробки як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их отриманий харчовий продукт є непридатним для споживання людиною, не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допускається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4586F1D" w14:textId="77777777" w:rsidR="004A30E9" w:rsidRPr="00EF4990" w:rsidRDefault="00B12EB0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AB4ED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9FBE3B1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04D8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12.2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1D5C2EF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2.14.3</w:t>
            </w:r>
          </w:p>
          <w:p w14:paraId="30A43D5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2.14 розділу ІІ</w:t>
            </w:r>
          </w:p>
          <w:p w14:paraId="27D114E2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</w:t>
            </w:r>
          </w:p>
          <w:p w14:paraId="1B1AEE62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 1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першої статті 49</w:t>
            </w:r>
          </w:p>
          <w:p w14:paraId="7337D5A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771/97-ВР</w:t>
            </w:r>
          </w:p>
        </w:tc>
      </w:tr>
      <w:tr w:rsidR="00BF2689" w:rsidRPr="00EF4990" w14:paraId="51EF2288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136BA9C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AFA9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 приймання сировини розробле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4DCE10E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8B296E7" w14:textId="77777777" w:rsidR="004A30E9" w:rsidRPr="00EF4990" w:rsidRDefault="007F5C85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653D3F6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8F77F7A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2F82" w14:textId="77777777" w:rsidR="008978B6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</w:p>
          <w:p w14:paraId="45454CF1" w14:textId="77777777" w:rsidR="008978B6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 і 11</w:t>
            </w:r>
          </w:p>
          <w:p w14:paraId="0EA594AB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 12.2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14512CE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6F58ECE9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E0C9000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3814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При постачанні продуктів відсутній ризик перехресного заб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руднення у транспортному засобі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75D1634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929B8E8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0A78B5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698D07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FD03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3 пункту 12.2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F313F60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6474EEB3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18598D6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1CB0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Сировину прийма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ють у межах терміну придатності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F6A68B3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03F6FEC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CB582DB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A69E86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468D" w14:textId="77777777" w:rsidR="004A30E9" w:rsidRPr="00EF4990" w:rsidRDefault="008978B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4 пункту 12.2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1708396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42326E1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4F647BA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B0B2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Температурні режими тра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нспортування сировини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BC95589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5E33D70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9B8D54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2DA7AE8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CAA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</w:t>
            </w:r>
            <w:r w:rsidR="008978B6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ункти 5, 6, 10 і 12 пункту 12.2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6D06799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EA91233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3977ED4" w14:textId="77777777" w:rsidR="004A30E9" w:rsidRPr="00EF4990" w:rsidRDefault="004A30E9" w:rsidP="00AA02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2C82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Персонал, що приймає сирови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ну, дотримується правил гігієни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D5D587C" w14:textId="77777777" w:rsidR="004A30E9" w:rsidRPr="00EF4990" w:rsidRDefault="004A30E9" w:rsidP="00AA02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1185E0B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EDCB365" w14:textId="77777777" w:rsidR="004A30E9" w:rsidRPr="00EF4990" w:rsidRDefault="004A30E9" w:rsidP="00AA02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3DB1D01" w14:textId="77777777" w:rsidR="004A30E9" w:rsidRPr="00EF4990" w:rsidRDefault="004A30E9" w:rsidP="00AA02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9E1C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7 пункту 12.2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E625D7C" w14:textId="77777777" w:rsidR="004A30E9" w:rsidRPr="00EF4990" w:rsidRDefault="004A30E9" w:rsidP="00AA02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6C403DF7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72BF22F" w14:textId="77777777" w:rsidR="004A30E9" w:rsidRPr="00EF4990" w:rsidRDefault="004A30E9" w:rsidP="00AA02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1.10.9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F619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Зовнішнє пакування  знімається перед тим, як перемістити харчові продукти у зони поводження або приміщення для зберігання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C4C1530" w14:textId="77777777" w:rsidR="004A30E9" w:rsidRPr="00EF4990" w:rsidRDefault="004A30E9" w:rsidP="00AA02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DD5D93D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FFBA3F1" w14:textId="77777777" w:rsidR="004A30E9" w:rsidRPr="00EF4990" w:rsidRDefault="004A30E9" w:rsidP="00AA02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3CD49E3" w14:textId="77777777" w:rsidR="004A30E9" w:rsidRPr="00EF4990" w:rsidRDefault="004A30E9" w:rsidP="00AA02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48B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8 пункту 12.2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4BB9B43" w14:textId="77777777" w:rsidR="004A30E9" w:rsidRPr="00EF4990" w:rsidRDefault="004A30E9" w:rsidP="00AA02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82EA078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7962AC2" w14:textId="77777777" w:rsidR="004A30E9" w:rsidRPr="00EF4990" w:rsidRDefault="004A30E9" w:rsidP="00AA02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265" w14:textId="77777777" w:rsidR="004A30E9" w:rsidRPr="000D2EF2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При переміщенні харчового продукту з його початкового пакування у інший контейнер забезпечено н</w:t>
            </w:r>
            <w:r w:rsidR="000D2EF2">
              <w:rPr>
                <w:rFonts w:ascii="Times New Roman" w:hAnsi="Times New Roman" w:cs="Times New Roman"/>
                <w:sz w:val="24"/>
                <w:szCs w:val="24"/>
              </w:rPr>
              <w:t>айменування харчового продукту,</w:t>
            </w:r>
            <w:r w:rsidR="0021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F2">
              <w:rPr>
                <w:rFonts w:ascii="Times New Roman" w:hAnsi="Times New Roman" w:cs="Times New Roman"/>
                <w:sz w:val="24"/>
                <w:szCs w:val="24"/>
              </w:rPr>
              <w:t xml:space="preserve">термін придатності та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відомості про постачальника харчових пр</w:t>
            </w:r>
            <w:r w:rsidR="0093778F">
              <w:rPr>
                <w:rFonts w:ascii="Times New Roman" w:hAnsi="Times New Roman" w:cs="Times New Roman"/>
                <w:sz w:val="24"/>
                <w:szCs w:val="24"/>
              </w:rPr>
              <w:t>одуктів/виробника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D470883" w14:textId="77777777" w:rsidR="004A30E9" w:rsidRPr="00EF4990" w:rsidRDefault="004A30E9" w:rsidP="00AA02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91E720A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009CB6A" w14:textId="77777777" w:rsidR="004A30E9" w:rsidRPr="00EF4990" w:rsidRDefault="004A30E9" w:rsidP="00AA02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2CD7CEB" w14:textId="77777777" w:rsidR="004A30E9" w:rsidRPr="00EF4990" w:rsidRDefault="004A30E9" w:rsidP="00AA02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344A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9 пункту 12.2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68CA87" w14:textId="77777777" w:rsidR="004A30E9" w:rsidRPr="00EF4990" w:rsidRDefault="004A30E9" w:rsidP="00AA02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7686BB0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FCEE625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1.10.11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0F60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Харчові продукти, що є алергеном чи містять алерген, м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аркуються при вхідному контролі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33AD27B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A99539" w14:textId="77777777" w:rsidR="004A30E9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Щотижня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ECE6BB3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0066A2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F85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="00EF4990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ідпункт 13 пункту 12.2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9172162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DA25BDB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F83CE3" w14:textId="77777777" w:rsidR="004A30E9" w:rsidRPr="00EF4990" w:rsidRDefault="00F75121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1.10.12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DDB4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Процес вимірювання температури сировини проводиться </w:t>
            </w:r>
            <w:r w:rsidR="00480E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дотриманням гігієнічних вимог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5FA2B5D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95E7B0E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8A3B3F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3C9399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89B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12.3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50F0E3E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24C42516" w14:textId="77777777" w:rsidTr="00FB2B11">
        <w:trPr>
          <w:gridAfter w:val="2"/>
          <w:wAfter w:w="692" w:type="pct"/>
          <w:trHeight w:val="64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8AAB9CD" w14:textId="77777777" w:rsidR="004A30E9" w:rsidRPr="00EF4990" w:rsidRDefault="004A30E9" w:rsidP="0024389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1.10.13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ADC4" w14:textId="77777777" w:rsidR="004A30E9" w:rsidRPr="00F75121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F7512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Перевіряти за вимогою Наказу </w:t>
            </w:r>
            <w:r w:rsidR="0021077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№ </w:t>
            </w:r>
            <w:r w:rsidRPr="00F7512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446 з врахуванням особливостей процедур закупівлі харчових продуктів для за</w:t>
            </w:r>
            <w:r w:rsidR="00480E90" w:rsidRPr="00F75121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кладів освіти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64E5D5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1.10.4. Процедури оцінювання постачальників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2D20DF9" w14:textId="77777777" w:rsidR="004A30E9" w:rsidRPr="00EF4990" w:rsidRDefault="007F5C85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F6ECB04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86F5630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1B1F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4.8.2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FFF4A2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2.14.4 пункту 2.14 розділу ІІ</w:t>
            </w:r>
          </w:p>
          <w:p w14:paraId="5FCBB3F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AF1B3C" w:rsidRPr="00EF4990" w14:paraId="6C928108" w14:textId="77777777" w:rsidTr="000D2EF2">
        <w:trPr>
          <w:gridAfter w:val="2"/>
          <w:wAfter w:w="692" w:type="pct"/>
          <w:trHeight w:val="43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F775D" w14:textId="77777777" w:rsidR="00AF1B3C" w:rsidRPr="00EF4990" w:rsidRDefault="00AF1B3C" w:rsidP="00AF1B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F15F" w14:textId="77777777" w:rsidR="00AF1B3C" w:rsidRPr="00EF4990" w:rsidRDefault="00AF1B3C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Програма-передумова системи НАССР щодо</w:t>
            </w:r>
            <w:r w:rsidR="00480E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 маркування харчових продуктів </w:t>
            </w: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 інформування споживачів</w:t>
            </w:r>
          </w:p>
        </w:tc>
      </w:tr>
      <w:tr w:rsidR="00BF2689" w:rsidRPr="00EF4990" w14:paraId="6E8F1498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6D0099" w14:textId="77777777" w:rsidR="004A30E9" w:rsidRPr="00EF4990" w:rsidRDefault="004A30E9" w:rsidP="00AF1B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E9E" w14:textId="77777777" w:rsidR="004A30E9" w:rsidRPr="00EF4990" w:rsidRDefault="004A30E9" w:rsidP="0093778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Інформація про харчові продукти доступна для батьків чи опікунів шляхом розміщення її на веб-сайті закладу чи оператора ринку та/або надана для оз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 xml:space="preserve">найомлення в 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паперовому вигляді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F3F7D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1.1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3.1. Обов’язкову інформацію про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харчові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продукти оператор ринку надає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межах своєї діяльності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3922C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B943F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83353D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44D8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третій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13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3EA95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 шоста</w:t>
            </w:r>
          </w:p>
          <w:p w14:paraId="260B475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 5,</w:t>
            </w:r>
          </w:p>
          <w:p w14:paraId="19BCE67E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 6, 9</w:t>
            </w:r>
          </w:p>
          <w:p w14:paraId="7EE33C5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2639-VІІІ</w:t>
            </w:r>
          </w:p>
        </w:tc>
      </w:tr>
      <w:tr w:rsidR="00BF2689" w:rsidRPr="00EF4990" w14:paraId="5FFFA2A9" w14:textId="77777777" w:rsidTr="00FB2B11">
        <w:trPr>
          <w:gridAfter w:val="2"/>
          <w:wAfter w:w="692" w:type="pct"/>
          <w:trHeight w:val="7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60B93" w14:textId="77777777" w:rsidR="004A30E9" w:rsidRPr="00EF4990" w:rsidRDefault="004A30E9" w:rsidP="00AF1B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FB9" w14:textId="77777777" w:rsidR="004A30E9" w:rsidRPr="0093778F" w:rsidRDefault="00480E90" w:rsidP="009377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3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B5F453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1.13.2. Інф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ормація про харчові продукти не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приписує будь-яким харчовим продуктам, крім природних мінеральних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вод та харчових продуктів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спеціальних медичних цілей, властивос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тей, що сприяють запобіганню чи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лікуванню захво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рювань, та не має посилатися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такі властивості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AF603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C8D1C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E319C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D741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5BD18C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 четверта статті 4</w:t>
            </w:r>
          </w:p>
          <w:p w14:paraId="3282D3AF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2639-VІІІ</w:t>
            </w:r>
          </w:p>
        </w:tc>
      </w:tr>
      <w:tr w:rsidR="00BF2689" w:rsidRPr="00EF4990" w14:paraId="4CE970A3" w14:textId="77777777" w:rsidTr="00FB2B11">
        <w:trPr>
          <w:gridAfter w:val="2"/>
          <w:wAfter w:w="692" w:type="pct"/>
          <w:trHeight w:val="6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00F2C" w14:textId="77777777" w:rsidR="004A30E9" w:rsidRPr="00EF4990" w:rsidRDefault="004A30E9" w:rsidP="00AF1B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0CC3" w14:textId="77777777" w:rsidR="004A30E9" w:rsidRPr="0093778F" w:rsidRDefault="00480E90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Відсутня у Настановах, </w:t>
            </w:r>
            <w:r w:rsidR="0093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D5F66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1.13.3. Інформаці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я, що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супроводжує харчовий продукт,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якщо такі зміни можуть ввести в оману кінцевого споживача або в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інший спосіб знижують рівень захисту споживача чи погіршують можливість здійснення кінцевим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споживачем свідомого вибору, не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змінена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17544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C87CD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26BA3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D7A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9EEA5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 третя статті 5</w:t>
            </w:r>
          </w:p>
          <w:p w14:paraId="6B44E3F0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2639-VIII</w:t>
            </w:r>
          </w:p>
        </w:tc>
      </w:tr>
      <w:tr w:rsidR="00BF2689" w:rsidRPr="00EF4990" w14:paraId="4B3C6E9A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30032" w14:textId="77777777" w:rsidR="004A30E9" w:rsidRPr="00EF4990" w:rsidRDefault="004A30E9" w:rsidP="00AF1B3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55FB" w14:textId="77777777" w:rsidR="004A30E9" w:rsidRPr="0093778F" w:rsidRDefault="00480E90" w:rsidP="009377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3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9E5387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1.13.4. Строки зберігання (дата «Вжити до», дата виробництва, кінцева дата споживання) харчового продукту, нанесені н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 маркуванні, вираховуються від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дати його виробництва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F7379C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1D4624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18D7A1" w14:textId="77777777" w:rsidR="004A30E9" w:rsidRPr="00EF4990" w:rsidRDefault="004A30E9" w:rsidP="00F27B8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FB67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FD75EF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2.17.4 пункту 2.17</w:t>
            </w:r>
          </w:p>
          <w:p w14:paraId="60A231A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 ІІ</w:t>
            </w:r>
          </w:p>
          <w:p w14:paraId="4957E015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F75121" w:rsidRPr="00EF4990" w14:paraId="10CEA802" w14:textId="77777777" w:rsidTr="006D6267">
        <w:trPr>
          <w:gridAfter w:val="2"/>
          <w:wAfter w:w="692" w:type="pct"/>
          <w:trHeight w:val="287"/>
        </w:trPr>
        <w:tc>
          <w:tcPr>
            <w:tcW w:w="43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86BF624" w14:textId="77777777" w:rsidR="00F75121" w:rsidRPr="00EF4990" w:rsidRDefault="00F75121" w:rsidP="000D2EF2">
            <w:pPr>
              <w:pStyle w:val="TableTABL"/>
              <w:jc w:val="center"/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2.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ПРАВИЛА ОРГАНІЗАЦІЇ ТЕХНОЛОГІЧНИХ ПРОЦЕСІВ</w:t>
            </w:r>
          </w:p>
        </w:tc>
      </w:tr>
      <w:tr w:rsidR="00480E90" w:rsidRPr="00EF4990" w14:paraId="569D4233" w14:textId="77777777" w:rsidTr="000D2EF2">
        <w:trPr>
          <w:gridAfter w:val="2"/>
          <w:wAfter w:w="692" w:type="pct"/>
          <w:trHeight w:val="12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31021E7" w14:textId="77777777" w:rsidR="00480E90" w:rsidRPr="00EF4990" w:rsidRDefault="00480E90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17833" w14:textId="77777777" w:rsidR="00480E90" w:rsidRPr="00EF4990" w:rsidRDefault="00480E90" w:rsidP="0093778F">
            <w:pPr>
              <w:pStyle w:val="TableTABL"/>
              <w:ind w:left="57" w:right="57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/>
                <w:sz w:val="24"/>
                <w:szCs w:val="24"/>
              </w:rPr>
              <w:t>Зберігання при кімнатній температурі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2689" w:rsidRPr="00EF4990" w14:paraId="17603D8F" w14:textId="77777777" w:rsidTr="00FB2B11">
        <w:trPr>
          <w:gridAfter w:val="2"/>
          <w:wAfter w:w="692" w:type="pct"/>
          <w:trHeight w:val="583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A017A2A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87CB7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Всі харчові продукти зберігаються на чистих стелажах або в чистих шафах, в упаковці чи в харчових контейнерах і не знаходиться під прямими сонячними променями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195620E" w14:textId="77777777" w:rsidR="004A30E9" w:rsidRPr="00EF4990" w:rsidRDefault="00210771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1.11.1. Належні умови для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зберігання готових харчови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 продуктів, неперероблених або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частково перероблених харчових проду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ктів, допоміжних матеріалів для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переробки 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арчових продуктів, предметів та матеріалів, що контактують з харчовими продуктами, та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нехарчових продуктів забезпечено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ADF8A4D" w14:textId="77777777" w:rsidR="004A30E9" w:rsidRPr="00EF4990" w:rsidRDefault="004A30E9" w:rsidP="000D2EF2">
            <w:pPr>
              <w:pStyle w:val="a3"/>
              <w:spacing w:line="240" w:lineRule="auto"/>
              <w:jc w:val="center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CC9964B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C97B1DC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F0D14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14.1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4F58F0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2.15.1 пункту 2.15 розділу ІІ</w:t>
            </w:r>
          </w:p>
          <w:p w14:paraId="4B7D0CC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495F3F3A" w14:textId="77777777" w:rsidTr="00FB2B11">
        <w:trPr>
          <w:gridAfter w:val="2"/>
          <w:wAfter w:w="692" w:type="pct"/>
          <w:trHeight w:val="1187"/>
        </w:trPr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22655D0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F59C" w14:textId="77777777" w:rsidR="004A30E9" w:rsidRPr="00EF4990" w:rsidRDefault="004A30E9" w:rsidP="00D94A24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CF954D6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43876A1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52BACA5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78B0B9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4491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7B6F06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448BB58" w14:textId="77777777" w:rsidTr="00FB2B11">
        <w:trPr>
          <w:gridAfter w:val="2"/>
          <w:wAfter w:w="692" w:type="pct"/>
          <w:trHeight w:val="11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6096C42" w14:textId="77777777" w:rsidR="004A30E9" w:rsidRPr="00EF4990" w:rsidRDefault="004A30E9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182A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Сухі харчові продукти, такі як борошно або крупи, зберігаються в чистому, сухому та 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добре провітрюваному приміщенні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2AC438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CB684B0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10D46F4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567D196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4441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2 пункту 14.1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8A74681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E9313EE" w14:textId="77777777" w:rsidTr="00FB2B11">
        <w:trPr>
          <w:gridAfter w:val="2"/>
          <w:wAfter w:w="692" w:type="pct"/>
          <w:trHeight w:val="11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48222C" w14:textId="77777777" w:rsidR="004A30E9" w:rsidRPr="00EF4990" w:rsidRDefault="004A30E9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78F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Непридатні харчові продукти зберігаються окремо, щоб уникнути перехрес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ного забруднення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34FEDEB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C672977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CAE6C95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A886C5F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1CA1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3 пункту 14.1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011519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7A9D236" w14:textId="77777777" w:rsidTr="00FB2B11">
        <w:trPr>
          <w:gridAfter w:val="2"/>
          <w:wAfter w:w="692" w:type="pct"/>
          <w:trHeight w:val="72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B7085F9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A39B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Рекомендовану температуру зберігання 10 – 21</w:t>
            </w:r>
            <w:r w:rsidRPr="00EF4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С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D215EC8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43DE098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Щотижня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4DDFB10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F57879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5D8D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4 пункту 14.1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AE0A86B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29183CF" w14:textId="77777777" w:rsidTr="00FB2B11">
        <w:trPr>
          <w:gridAfter w:val="2"/>
          <w:wAfter w:w="692" w:type="pct"/>
          <w:trHeight w:val="161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8F22415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F186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Фрукти та овочі, соління зберігаються в прохолодному приміщенні не на підлозі та окремо від харчових продуктів, що готують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ся або є готовими до споживання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1648ED9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9C90D9F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11C711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B2B6182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B6A1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5 пункту 14.1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29328D0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78FD336" w14:textId="77777777" w:rsidTr="00FB2B11">
        <w:trPr>
          <w:gridAfter w:val="2"/>
          <w:wAfter w:w="692" w:type="pct"/>
          <w:trHeight w:val="11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37A8AA5" w14:textId="77777777" w:rsidR="004A30E9" w:rsidRPr="00EF4990" w:rsidRDefault="004A30E9" w:rsidP="008C032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BE4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Коренеплоди </w:t>
            </w:r>
            <w:r w:rsidR="003753C3" w:rsidRPr="00EF4990">
              <w:rPr>
                <w:rFonts w:ascii="Times New Roman" w:hAnsi="Times New Roman" w:cs="Times New Roman"/>
                <w:sz w:val="24"/>
                <w:szCs w:val="24"/>
              </w:rPr>
              <w:t>зберігаються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 у спеціально виділеному, фізично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відділеному місці для уни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кнення перехресного забруднення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3401C67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D8E5556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86CADBE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C523947" w14:textId="77777777" w:rsidR="004A30E9" w:rsidRPr="00EF4990" w:rsidRDefault="004A30E9" w:rsidP="008C032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17CE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6 пункт</w:t>
            </w:r>
            <w:r w:rsidR="00EF4990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14.1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2DA30D2" w14:textId="77777777" w:rsidR="004A30E9" w:rsidRPr="00EF4990" w:rsidRDefault="004A30E9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BE098EC" w14:textId="77777777" w:rsidTr="00FB2B11">
        <w:trPr>
          <w:gridAfter w:val="2"/>
          <w:wAfter w:w="692" w:type="pct"/>
          <w:trHeight w:val="20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3A6A040" w14:textId="77777777" w:rsidR="004A30E9" w:rsidRPr="00EF4990" w:rsidRDefault="00F75121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84BA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Харчові продукти, що не зберігаються в оригінальній упаковці, </w:t>
            </w:r>
            <w:r w:rsidR="00480E90">
              <w:rPr>
                <w:rFonts w:ascii="Times New Roman" w:hAnsi="Times New Roman" w:cs="Times New Roman"/>
                <w:sz w:val="24"/>
                <w:szCs w:val="24"/>
              </w:rPr>
              <w:t>знаходяться у закритих ємностях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716A65E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AF932FA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5255798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49E3397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0BBB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7 пункту 14.1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850A15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480E90" w:rsidRPr="00EF4990" w14:paraId="5B126178" w14:textId="77777777" w:rsidTr="000D2EF2">
        <w:trPr>
          <w:gridAfter w:val="1"/>
          <w:wAfter w:w="304" w:type="pct"/>
          <w:trHeight w:val="20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2579902" w14:textId="77777777" w:rsidR="00480E90" w:rsidRPr="00EF4990" w:rsidRDefault="00480E90" w:rsidP="008C0329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2.2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C48F" w14:textId="77777777" w:rsidR="00480E90" w:rsidRPr="00EF4990" w:rsidRDefault="00480E90" w:rsidP="0093778F">
            <w:pPr>
              <w:pStyle w:val="TableTABL"/>
              <w:ind w:left="57" w:right="57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Зберігання в охолодженому стані:</w:t>
            </w:r>
          </w:p>
        </w:tc>
        <w:tc>
          <w:tcPr>
            <w:tcW w:w="388" w:type="pc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A26BE6" w14:textId="77777777" w:rsidR="00480E90" w:rsidRPr="00EF4990" w:rsidRDefault="00480E90" w:rsidP="008C032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480E90" w:rsidRPr="00EF4990" w14:paraId="0515489B" w14:textId="77777777" w:rsidTr="00FB2B11">
        <w:trPr>
          <w:gridAfter w:val="2"/>
          <w:wAfter w:w="692" w:type="pct"/>
          <w:trHeight w:val="64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B322FCD" w14:textId="77777777" w:rsidR="004A30E9" w:rsidRPr="00EF4990" w:rsidRDefault="004A30E9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B4C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Температуру 5</w:t>
            </w:r>
            <w:r w:rsidRPr="00EF4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С у товщі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 xml:space="preserve"> продукту або нижче забезпечено</w:t>
            </w:r>
          </w:p>
        </w:tc>
        <w:tc>
          <w:tcPr>
            <w:tcW w:w="12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F641E51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EEBDF11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9D9809E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8280789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050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14.2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36EC54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630F81F" w14:textId="77777777" w:rsidTr="00FB2B11">
        <w:trPr>
          <w:gridAfter w:val="2"/>
          <w:wAfter w:w="692" w:type="pct"/>
          <w:trHeight w:val="96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C8F1FFA" w14:textId="77777777" w:rsidR="004A30E9" w:rsidRPr="00EF4990" w:rsidRDefault="004A30E9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801B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Перевірка температури холодильного обладнання проводиться не рідше, ніж 1 раз у добу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8A14DD2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334C1A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FB60FA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FC4475D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8E09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4 пункту 14.2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3F9B2D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D700E6F" w14:textId="77777777" w:rsidTr="00FB2B11">
        <w:trPr>
          <w:gridAfter w:val="2"/>
          <w:wAfter w:w="692" w:type="pct"/>
          <w:trHeight w:val="33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FAB90E2" w14:textId="77777777" w:rsidR="004A30E9" w:rsidRPr="00EF4990" w:rsidRDefault="004A30E9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CD9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Зберігання сировини та готових до споживання продуктів організовано так, щоб уникнут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и перехресного забруднення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FAE0D5C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3437E48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504D5F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6B51EB6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1DDB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5 пункту 14.2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E4E506C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75E36F84" w14:textId="77777777" w:rsidTr="00FB2B11">
        <w:trPr>
          <w:gridAfter w:val="2"/>
          <w:wAfter w:w="692" w:type="pct"/>
          <w:trHeight w:val="11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EE691F1" w14:textId="77777777" w:rsidR="004A30E9" w:rsidRPr="00EF4990" w:rsidRDefault="004A30E9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751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Усі харчові продукти, які не зберігаються в оригінальній упаковці, знаходиться у зак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ритих промаркованих контейнерах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749142D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997F5D0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5BE02E1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81552C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2DE2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6 пункту 14.2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7C61A15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76137E8" w14:textId="77777777" w:rsidTr="00FB2B11">
        <w:trPr>
          <w:gridAfter w:val="2"/>
          <w:wAfter w:w="692" w:type="pct"/>
          <w:trHeight w:val="11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13A1DA1" w14:textId="77777777" w:rsidR="004A30E9" w:rsidRPr="00EF4990" w:rsidRDefault="004A30E9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7AF0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Харчові продукти, які повинні зберігатися в охолодженому стані перебувають за кімнатної температури не більше, ніж 4 години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46C0DAD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0555A12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56D5588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E7718F4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F441" w14:textId="77777777" w:rsidR="004A30E9" w:rsidRPr="00EF4990" w:rsidRDefault="00B12EB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сьомий</w:t>
            </w:r>
            <w:r w:rsidR="00EF4990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підпункту 2 пункту 5.1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1B0A25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1B3B3709" w14:textId="77777777" w:rsidTr="000D2EF2">
        <w:trPr>
          <w:trHeight w:val="212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7AAB2E5" w14:textId="77777777" w:rsidR="00BF2689" w:rsidRPr="00F75121" w:rsidRDefault="00BF2689" w:rsidP="00505496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F75121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2.3</w:t>
            </w:r>
          </w:p>
        </w:tc>
        <w:tc>
          <w:tcPr>
            <w:tcW w:w="40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DF71" w14:textId="77777777" w:rsidR="00BF2689" w:rsidRPr="00EF4990" w:rsidRDefault="00BF2689" w:rsidP="0093778F">
            <w:pPr>
              <w:pStyle w:val="TableTABL"/>
              <w:ind w:left="57" w:right="57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/>
                <w:sz w:val="24"/>
                <w:szCs w:val="24"/>
              </w:rPr>
              <w:t>Зберігання у замороженому стані:</w:t>
            </w:r>
          </w:p>
        </w:tc>
        <w:tc>
          <w:tcPr>
            <w:tcW w:w="692" w:type="pct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591F39B" w14:textId="77777777" w:rsidR="00BF2689" w:rsidRPr="00EF4990" w:rsidRDefault="00BF268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55F66" w:rsidRPr="00EF4990" w14:paraId="100FD743" w14:textId="77777777" w:rsidTr="00555F66">
        <w:trPr>
          <w:gridAfter w:val="2"/>
          <w:wAfter w:w="692" w:type="pct"/>
          <w:trHeight w:val="632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9BB10D0" w14:textId="77777777" w:rsidR="00555F66" w:rsidRPr="00EF4990" w:rsidRDefault="00555F66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2.3.1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CC69" w14:textId="77777777" w:rsidR="00555F66" w:rsidRPr="00EF4990" w:rsidRDefault="00555F66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Температура у морозильній камері не вища, ніж -18</w:t>
            </w:r>
            <w:r w:rsidRPr="00EF4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1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02EB19B" w14:textId="77777777" w:rsidR="00555F66" w:rsidRPr="00EF4990" w:rsidRDefault="00555F66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A6082DD" w14:textId="77777777" w:rsidR="00555F66" w:rsidRPr="00EF4990" w:rsidRDefault="00555F66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  <w:p w14:paraId="7389465A" w14:textId="77777777" w:rsidR="00555F66" w:rsidRPr="00EF4990" w:rsidRDefault="00555F66" w:rsidP="000D2EF2">
            <w:pPr>
              <w:jc w:val="center"/>
              <w:rPr>
                <w:color w:val="auto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45CE460" w14:textId="77777777" w:rsidR="00555F66" w:rsidRPr="00EF4990" w:rsidRDefault="00555F66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AB2367B" w14:textId="77777777" w:rsidR="00555F66" w:rsidRPr="00EF4990" w:rsidRDefault="00555F66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CD0D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другий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14.3</w:t>
            </w:r>
          </w:p>
        </w:tc>
        <w:tc>
          <w:tcPr>
            <w:tcW w:w="5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8272052" w14:textId="77777777" w:rsidR="00555F66" w:rsidRPr="00EF4990" w:rsidRDefault="00555F66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55F66" w:rsidRPr="00EF4990" w14:paraId="26F39CCC" w14:textId="77777777" w:rsidTr="00555F66">
        <w:trPr>
          <w:gridAfter w:val="2"/>
          <w:wAfter w:w="692" w:type="pct"/>
          <w:trHeight w:val="148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AC1E75A" w14:textId="77777777" w:rsidR="00555F66" w:rsidRPr="00EF4990" w:rsidRDefault="00555F66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2.3.2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283" w14:textId="77777777" w:rsidR="00555F66" w:rsidRPr="00EF4990" w:rsidRDefault="00555F66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Неперероблені та готові до споживання харчові продукти розміщені в окремих контейнерах та відмежовані в морозильній камері для уникнення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перехресного забруднення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F6554C3" w14:textId="77777777" w:rsidR="00555F66" w:rsidRPr="00EF4990" w:rsidRDefault="00555F66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D718705" w14:textId="77777777" w:rsidR="00555F66" w:rsidRPr="00EF4990" w:rsidRDefault="00555F66" w:rsidP="000D2E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7559DE9" w14:textId="77777777" w:rsidR="00555F66" w:rsidRPr="00EF4990" w:rsidRDefault="00555F66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A97DE58" w14:textId="77777777" w:rsidR="00555F66" w:rsidRPr="00EF4990" w:rsidRDefault="00555F66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A29E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третій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14.3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12080A3" w14:textId="77777777" w:rsidR="00555F66" w:rsidRPr="00EF4990" w:rsidRDefault="00555F66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55F66" w:rsidRPr="00EF4990" w14:paraId="6565FCB6" w14:textId="77777777" w:rsidTr="00555F66">
        <w:trPr>
          <w:gridAfter w:val="2"/>
          <w:wAfter w:w="692" w:type="pct"/>
          <w:trHeight w:val="153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AD2FEB2" w14:textId="77777777" w:rsidR="00555F66" w:rsidRPr="00EF4990" w:rsidRDefault="00555F66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2.3.3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E288" w14:textId="77777777" w:rsidR="00555F66" w:rsidRPr="00EF4990" w:rsidRDefault="00555F66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Свіжі харчові продукти, які заморожуються на потужності, марковані датою заморожування, щоб забезпечити їх використання протягом установленого терміну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0DC5C98" w14:textId="77777777" w:rsidR="00555F66" w:rsidRPr="00EF4990" w:rsidRDefault="00555F66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0D8D6E3" w14:textId="77777777" w:rsidR="00555F66" w:rsidRPr="00EF4990" w:rsidRDefault="00555F66" w:rsidP="000D2E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9B887A0" w14:textId="77777777" w:rsidR="00555F66" w:rsidRPr="00EF4990" w:rsidRDefault="00555F66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737DD33" w14:textId="77777777" w:rsidR="00555F66" w:rsidRPr="00EF4990" w:rsidRDefault="00555F66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E68" w14:textId="77777777" w:rsidR="00555F66" w:rsidRPr="00EF4990" w:rsidRDefault="00555F66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четвертий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14.3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E1FCF71" w14:textId="77777777" w:rsidR="00555F66" w:rsidRPr="00EF4990" w:rsidRDefault="00555F66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4962B191" w14:textId="77777777" w:rsidTr="00FB2B11">
        <w:trPr>
          <w:gridAfter w:val="2"/>
          <w:wAfter w:w="692" w:type="pct"/>
          <w:trHeight w:val="136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49CCA15" w14:textId="77777777" w:rsidR="004A30E9" w:rsidRPr="00EF4990" w:rsidRDefault="004A30E9" w:rsidP="001930C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2.3.4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3AF" w14:textId="77777777" w:rsidR="004A30E9" w:rsidRPr="00EF4990" w:rsidRDefault="004A30E9" w:rsidP="0093778F">
            <w:pPr>
              <w:pStyle w:val="aff9"/>
              <w:autoSpaceDE w:val="0"/>
              <w:autoSpaceDN w:val="0"/>
              <w:adjustRightInd w:val="0"/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Правила поводження з замороженими харчовими продуктами у випадку неналежної роботи морозильної кам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ери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F28B948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858F0E7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71E7734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6CFE2F4" w14:textId="77777777" w:rsidR="004A30E9" w:rsidRPr="00EF4990" w:rsidRDefault="004A30E9" w:rsidP="001930C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50C" w14:textId="77777777" w:rsidR="00EF4990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</w:p>
          <w:p w14:paraId="00910F00" w14:textId="77777777" w:rsidR="00EF4990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1 - 4</w:t>
            </w:r>
          </w:p>
          <w:p w14:paraId="57F92AF8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 14.3.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CF2603D" w14:textId="77777777" w:rsidR="004A30E9" w:rsidRPr="00EF4990" w:rsidRDefault="004A30E9" w:rsidP="001930C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0F94332" w14:textId="77777777" w:rsidTr="00FB2B11">
        <w:trPr>
          <w:gridAfter w:val="2"/>
          <w:wAfter w:w="692" w:type="pct"/>
          <w:trHeight w:val="33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A42E45C" w14:textId="77777777" w:rsidR="004A30E9" w:rsidRPr="00EF4990" w:rsidRDefault="004A30E9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91B6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Холодильники не переповнені і забезпечують циркуляцію холодного повітря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8C5C95C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1.11.2. Приміщення мають достатню пл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ощу та оснащені обладнанням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забезпечення умов зберігання. Принцип використання нас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амперед партій тих продуктів,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 раніше закінчується строк придатності, впроваджен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о. В необхідному обладнанні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зберігання харчових продуктів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дотримуються умови зберігання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разі пов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ної завантаженості приміщення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проведенням конт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ролю за режимами температури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вологи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6CAAAE2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80A7F7D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5C99AA7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D402" w14:textId="77777777" w:rsidR="004A30E9" w:rsidRPr="00EF4990" w:rsidRDefault="00EF4990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2 пункту 14.2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F581450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2.15.2 пункту 2.15 розділу ІІ</w:t>
            </w:r>
          </w:p>
          <w:p w14:paraId="311014C3" w14:textId="77777777" w:rsidR="004A30E9" w:rsidRPr="00EF4990" w:rsidRDefault="004A30E9" w:rsidP="003F78D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468E4A85" w14:textId="77777777" w:rsidTr="00FB2B11">
        <w:trPr>
          <w:gridAfter w:val="2"/>
          <w:wAfter w:w="692" w:type="pct"/>
          <w:trHeight w:val="33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593C483" w14:textId="77777777" w:rsidR="004A30E9" w:rsidRPr="00F75121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7512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5EC" w14:textId="77777777" w:rsidR="004A30E9" w:rsidRPr="0093778F" w:rsidRDefault="00BF2689" w:rsidP="009377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3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6AC6847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1.11.3. Приміщення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для 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зберігання неперероблених,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частково</w:t>
            </w:r>
            <w:r w:rsidR="0093778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перероблених або 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перероблених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харчових продуктів, предметів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 матеріалів, що контактують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вими продуктами,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спроектовані так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щоб не 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допустити забруднення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зберігання, прибирання, миття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 за 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потреби проведення дезінфекції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й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апобігати проникненню шкідників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2958D0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041087F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9EF96F3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590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56E1302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2.15.3 пункту 2.15 розділу ІІ</w:t>
            </w:r>
          </w:p>
          <w:p w14:paraId="5ADC0A91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029A7D11" w14:textId="77777777" w:rsidTr="00FB2B11">
        <w:trPr>
          <w:gridAfter w:val="2"/>
          <w:wAfter w:w="692" w:type="pct"/>
          <w:trHeight w:val="33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BCDB518" w14:textId="77777777" w:rsidR="004A30E9" w:rsidRPr="00EF4990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3F51" w14:textId="77777777" w:rsidR="004A30E9" w:rsidRPr="0093778F" w:rsidRDefault="00BF2689" w:rsidP="009377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3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0EF1251" w14:textId="77777777" w:rsidR="004A30E9" w:rsidRPr="00EF4990" w:rsidRDefault="00210771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1.11.4. Первинна продукція та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всі 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нгредієнти, які зберігаються на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потужностях, утримуют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ься в умовах, що запобігають їх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псув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анню та забезпечують захист від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забруднення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E9E8C0F" w14:textId="77777777" w:rsidR="004A30E9" w:rsidRPr="00EF4990" w:rsidRDefault="00820FC8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3700519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B806E44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0CE8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AE2F0D5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2</w:t>
            </w:r>
          </w:p>
          <w:p w14:paraId="5F3DD8F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 першої</w:t>
            </w:r>
          </w:p>
          <w:p w14:paraId="62B987C5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 49 ЗУ № 771/97-ВР</w:t>
            </w:r>
          </w:p>
        </w:tc>
      </w:tr>
      <w:tr w:rsidR="00BF2689" w:rsidRPr="00EF4990" w14:paraId="4BE3ECDA" w14:textId="77777777" w:rsidTr="00FB2B11">
        <w:trPr>
          <w:gridAfter w:val="2"/>
          <w:wAfter w:w="692" w:type="pct"/>
          <w:trHeight w:val="118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BBCA93F" w14:textId="77777777" w:rsidR="004A30E9" w:rsidRPr="00EF4990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DF50" w14:textId="77777777" w:rsidR="004A30E9" w:rsidRPr="0093778F" w:rsidRDefault="00BF2689" w:rsidP="0093778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3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F44A933" w14:textId="77777777" w:rsidR="004A30E9" w:rsidRPr="00EF4990" w:rsidRDefault="00210771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1.11.5. Потужності з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виробництва, обробки, транспортування, зберігання, первинного пакування перероблених харчових продукт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ів мають належні приміщення для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окремого зберігання перероблених харчових продуктів ві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 неперероблених, у тому числі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морозильні камери достатнього розміру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81BD8A8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F53514F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A635150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F98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E81326A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6</w:t>
            </w:r>
          </w:p>
          <w:p w14:paraId="7D77EF2F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 першої</w:t>
            </w:r>
          </w:p>
          <w:p w14:paraId="7D1FE6BD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 49 ЗУ № 771/97-ВР</w:t>
            </w:r>
          </w:p>
        </w:tc>
      </w:tr>
      <w:tr w:rsidR="00BF2689" w:rsidRPr="00EF4990" w14:paraId="40317574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23B58" w14:textId="77777777" w:rsidR="004A30E9" w:rsidRPr="00EF4990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1C6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z w:val="24"/>
                <w:szCs w:val="24"/>
              </w:rPr>
              <w:t>Перед приготув</w:t>
            </w:r>
            <w:r w:rsidR="00BF2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анням харчові продукти повністю </w:t>
            </w:r>
            <w:r w:rsidRPr="00EF4990">
              <w:rPr>
                <w:rFonts w:ascii="Times New Roman" w:hAnsi="Times New Roman" w:cs="Times New Roman"/>
                <w:bCs/>
                <w:sz w:val="24"/>
                <w:szCs w:val="24"/>
              </w:rPr>
              <w:t>розморожуються (якщо інше не передбачено технологічним процесом)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CD241" w14:textId="77777777" w:rsidR="004A30E9" w:rsidRPr="00EF4990" w:rsidRDefault="004A30E9" w:rsidP="0093778F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1.11.6. Розморожування харчових продуктів здійснюється так, щоб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мінімізувати ризик розмноження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патогенних мікроорган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ізмів або формування токсинів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харчових продуктах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AD05F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88E4D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7E5E2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D4A3" w14:textId="77777777" w:rsidR="004A30E9" w:rsidRPr="00EF4990" w:rsidRDefault="00B12EB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перший</w:t>
            </w:r>
            <w:r w:rsidR="00EF4990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14.4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C3A45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8</w:t>
            </w:r>
          </w:p>
          <w:p w14:paraId="628446BA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частини першої</w:t>
            </w:r>
          </w:p>
          <w:p w14:paraId="079A295C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 49 ЗУ № 771/97-ВР</w:t>
            </w:r>
          </w:p>
        </w:tc>
      </w:tr>
      <w:tr w:rsidR="00BF2689" w:rsidRPr="00EF4990" w14:paraId="37711916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3C479" w14:textId="77777777" w:rsidR="004A30E9" w:rsidRPr="00EF4990" w:rsidRDefault="004A30E9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2DED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z w:val="24"/>
                <w:szCs w:val="24"/>
              </w:rPr>
              <w:t>Харчові продукти після розморожування використовуються протягом 12 годин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F9A05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458C7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EB584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66B7C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486B" w14:textId="77777777" w:rsidR="004A30E9" w:rsidRPr="00EF4990" w:rsidRDefault="00B12EB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другий</w:t>
            </w:r>
            <w:r w:rsidR="00EF4990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пункту 14.4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4F895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3FE8083E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C3A3C" w14:textId="77777777" w:rsidR="004A30E9" w:rsidRPr="00EF4990" w:rsidRDefault="004A30E9" w:rsidP="003962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017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Способи роз</w:t>
            </w:r>
            <w:r w:rsidR="00BF2689">
              <w:rPr>
                <w:rFonts w:ascii="Times New Roman" w:hAnsi="Times New Roman" w:cs="Times New Roman"/>
                <w:bCs/>
                <w:sz w:val="24"/>
                <w:szCs w:val="24"/>
              </w:rPr>
              <w:t>морожування продуктів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5AFFC" w14:textId="77777777" w:rsidR="004A30E9" w:rsidRPr="00EF4990" w:rsidRDefault="004A30E9" w:rsidP="0039629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D4823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E54EA3" w14:textId="77777777" w:rsidR="004A30E9" w:rsidRPr="00EF4990" w:rsidRDefault="004A30E9" w:rsidP="0039629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6C106" w14:textId="77777777" w:rsidR="004A30E9" w:rsidRPr="00EF4990" w:rsidRDefault="004A30E9" w:rsidP="0039629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B5C1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14.4.1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49E42" w14:textId="77777777" w:rsidR="004A30E9" w:rsidRPr="00EF4990" w:rsidRDefault="004A30E9" w:rsidP="0039629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23448ECE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10A31" w14:textId="77777777" w:rsidR="004A30E9" w:rsidRPr="00EF4990" w:rsidRDefault="004A30E9" w:rsidP="00D14B7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135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bCs/>
                <w:sz w:val="24"/>
                <w:szCs w:val="24"/>
              </w:rPr>
              <w:t>Перевірка процесу</w:t>
            </w:r>
            <w:r w:rsidR="00BF2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розморожування проводиться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0EC11" w14:textId="77777777" w:rsidR="004A30E9" w:rsidRPr="00EF4990" w:rsidRDefault="004A30E9" w:rsidP="0039629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D0B8A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06BEC" w14:textId="77777777" w:rsidR="004A30E9" w:rsidRPr="00EF4990" w:rsidRDefault="004A30E9" w:rsidP="0039629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91ED1" w14:textId="77777777" w:rsidR="004A30E9" w:rsidRPr="00EF4990" w:rsidRDefault="004A30E9" w:rsidP="0039629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8D9" w14:textId="77777777" w:rsidR="00EF4990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</w:p>
          <w:p w14:paraId="3A604D44" w14:textId="77777777" w:rsidR="00EF4990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 і 2</w:t>
            </w:r>
          </w:p>
          <w:p w14:paraId="1B80FAC7" w14:textId="77777777" w:rsidR="00EF4990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 14.4.2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16C4D" w14:textId="77777777" w:rsidR="004A30E9" w:rsidRPr="00EF4990" w:rsidRDefault="004A30E9" w:rsidP="0039629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638DA452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73D98" w14:textId="77777777" w:rsidR="004A30E9" w:rsidRPr="00EF4990" w:rsidRDefault="004A30E9" w:rsidP="0039629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B202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Рідина, яка виділяється з продукту при розморожуванні, видаляється з запобі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ганням перехресного забруднення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23BCA3" w14:textId="77777777" w:rsidR="004A30E9" w:rsidRPr="00EF4990" w:rsidRDefault="004A30E9" w:rsidP="0039629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87EC1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354CF" w14:textId="77777777" w:rsidR="004A30E9" w:rsidRPr="00EF4990" w:rsidRDefault="004A30E9" w:rsidP="0039629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094080" w14:textId="77777777" w:rsidR="004A30E9" w:rsidRPr="00EF4990" w:rsidRDefault="004A30E9" w:rsidP="00396290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23ED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3 пункту 14.4.2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B0222" w14:textId="77777777" w:rsidR="004A30E9" w:rsidRPr="00EF4990" w:rsidRDefault="004A30E9" w:rsidP="0039629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C39EC4A" w14:textId="77777777" w:rsidTr="009F49B6">
        <w:trPr>
          <w:gridAfter w:val="2"/>
          <w:wAfter w:w="692" w:type="pct"/>
          <w:trHeight w:val="21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E5D30D" w14:textId="77777777" w:rsidR="004A30E9" w:rsidRPr="00EF4990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7DD4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DFB44" w14:textId="77777777" w:rsidR="004A30E9" w:rsidRPr="00EF4990" w:rsidRDefault="00DC74EA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1.11.7. Зберігання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транспортування харчових проду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ктів, допоміжних матеріалів для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переробки харчових продуктів, предметів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 матеріалів, що контактують з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харчовими продуктами, інших не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харчових пр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одуктів у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спосіб, що згідно з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оцінкою ризиків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запобігає їх взаємному негативному впливу на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безпечність 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арчового продукту, забезпечено.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Дотримання вимог до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транспортних засобів забезпечено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D43F5" w14:textId="77777777" w:rsidR="004A30E9" w:rsidRPr="00EF4990" w:rsidRDefault="00820FC8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Щоденно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54E931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2D8D1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7F7F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5C267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Підпункти 2.15.5, 2.15.9 пункту 2.15 розділу ІІ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наказу № 590;</w:t>
            </w:r>
          </w:p>
          <w:p w14:paraId="273CA2AF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стаття 44 ЗУ № 771/97-ВР</w:t>
            </w:r>
          </w:p>
        </w:tc>
      </w:tr>
      <w:tr w:rsidR="00BF2689" w:rsidRPr="00EF4990" w14:paraId="1DAF1239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AAF1F" w14:textId="77777777" w:rsidR="004A30E9" w:rsidRPr="00EF4990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02BE" w14:textId="77777777" w:rsidR="004A30E9" w:rsidRPr="00BF2689" w:rsidRDefault="004A30E9" w:rsidP="00BF2689">
            <w:pPr>
              <w:pStyle w:val="TableTABL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BF268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Не застосовуєть</w:t>
            </w:r>
            <w:r w:rsidR="00BF2689" w:rsidRPr="00BF268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ся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AEFBA1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1.11.8. Умов тр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анспортування (зокрема режимів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температури зберігання та відносної вологості повітря),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лі у 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разі повного завантаження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транспортного засобу дотримано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829B4" w14:textId="77777777" w:rsidR="004A30E9" w:rsidRPr="00EF4990" w:rsidRDefault="00B12EB0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4AC8A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C1547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3B42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330D1F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2.15.7 пункту 2.15 розділу ІІ</w:t>
            </w:r>
          </w:p>
          <w:p w14:paraId="5E8B364D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74909D91" w14:textId="77777777" w:rsidTr="00FB2B11">
        <w:trPr>
          <w:gridAfter w:val="2"/>
          <w:wAfter w:w="692" w:type="pct"/>
          <w:trHeight w:val="6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5ADDE9" w14:textId="77777777" w:rsidR="004A30E9" w:rsidRPr="00EF4990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1F3F" w14:textId="77777777" w:rsidR="004A30E9" w:rsidRPr="00BF2689" w:rsidRDefault="004A30E9" w:rsidP="00BF2689">
            <w:pPr>
              <w:pStyle w:val="TableTABL"/>
              <w:jc w:val="center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BF268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Не застосовуєт</w:t>
            </w:r>
            <w:r w:rsidR="00BF2689" w:rsidRPr="00BF268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ься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B6112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1.11.9. Для транспортних засобів програми технічно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го огляду, прибирання, миття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дезінфекції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7B753" w14:textId="77777777" w:rsidR="004A30E9" w:rsidRPr="00EF4990" w:rsidRDefault="00B12EB0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-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09F14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39762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71A1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AFDF5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2.15.8 пункту 2.15 розділу ІІ</w:t>
            </w:r>
          </w:p>
          <w:p w14:paraId="029DA35B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7059D2FB" w14:textId="77777777" w:rsidTr="00FB2B11">
        <w:trPr>
          <w:gridAfter w:val="2"/>
          <w:wAfter w:w="692" w:type="pct"/>
          <w:trHeight w:val="97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B6C4" w14:textId="77777777" w:rsidR="004A30E9" w:rsidRPr="00EF4990" w:rsidRDefault="004A30E9" w:rsidP="00582B9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E20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Настановах, перевіряти з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BE6AE9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1.11.10. Належну ідентифікацію харчових продуктів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іжних матеріалів для 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переробки 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харчових продуктів, предметів 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матеріалів, що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актують з 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харчовими продуктами 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 зберігання, забезпечено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14:paraId="781849B4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06F28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5399C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49D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C54B1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2.15.4 пункту 2.15 розділу ІІ наказу № 590</w:t>
            </w:r>
          </w:p>
        </w:tc>
      </w:tr>
      <w:tr w:rsidR="00BF2689" w:rsidRPr="00EF4990" w14:paraId="0B1FFFBC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FC85E" w14:textId="77777777" w:rsidR="004A30E9" w:rsidRPr="00EF4990" w:rsidRDefault="004A30E9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8841" w14:textId="77777777" w:rsidR="004A30E9" w:rsidRPr="00EF4990" w:rsidRDefault="004A30E9" w:rsidP="009F49B6">
            <w:pPr>
              <w:spacing w:before="120" w:after="120" w:line="24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Вимоги до безпечного поводження під час підготовки м’я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са, м’яса птиці, риби дотримано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5F1BE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1.12.1. Умови контролю пара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метрів технологічних процесів 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ничого середовища, достатні для виконання встановлених вимог до харчових продуктів,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забезпечено. Докази відповідності встановленим нормам пара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метрів технологічних процесів 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виробничого середовища надано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67CE7A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910F6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C83E9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539E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1 пункту 14.5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DA34D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2.16.1</w:t>
            </w:r>
          </w:p>
          <w:p w14:paraId="140E7EB7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2.16 розділу ІІ наказу № 590</w:t>
            </w:r>
          </w:p>
        </w:tc>
      </w:tr>
      <w:tr w:rsidR="00BF2689" w:rsidRPr="00EF4990" w14:paraId="297DB037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A28D30" w14:textId="77777777" w:rsidR="004A30E9" w:rsidRPr="00EF4990" w:rsidRDefault="004A30E9" w:rsidP="000E19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5A1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Вимоги до безпечного поводження під час підготовки салатів, що містять чутливі до умов зберігання продукти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EEE722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605A7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B3ACB6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5A22D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6CF2" w14:textId="77777777" w:rsidR="004A30E9" w:rsidRPr="00EF4990" w:rsidRDefault="00EF4990" w:rsidP="00BF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Підпункт 2 пункту 14.5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F362A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15D32815" w14:textId="77777777" w:rsidTr="00FB2B11">
        <w:trPr>
          <w:gridAfter w:val="2"/>
          <w:wAfter w:w="692" w:type="pct"/>
          <w:trHeight w:val="46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E0858" w14:textId="77777777" w:rsidR="004A30E9" w:rsidRPr="00EF4990" w:rsidRDefault="004A30E9" w:rsidP="000E19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F40E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Вимоги до безпечного поводження пі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д час підготовки яєць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99FFE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BA41F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412BA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F3EC4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CD6" w14:textId="77777777" w:rsidR="004A30E9" w:rsidRPr="00EF4990" w:rsidRDefault="00EF4990" w:rsidP="00BF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Підпункт 3 пункту 14.5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E5A19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2178003D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56D8B" w14:textId="77777777" w:rsidR="004A30E9" w:rsidRPr="00EF4990" w:rsidRDefault="004A30E9" w:rsidP="000E19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5C04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Вимоги до безпечного поводження під час підгот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овки тіста та випічки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EDC39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33739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A483F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257C0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49CD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4 пункту 14.5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50A46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4F444B94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DF1B7" w14:textId="77777777" w:rsidR="004A30E9" w:rsidRPr="00EF4990" w:rsidRDefault="004A30E9" w:rsidP="000E19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ACE2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Вимоги до безпечного поводження під час підгото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вки овочів та фруктів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B24CF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FD058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8B42F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53E5A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BCEB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 5 пункту 14.5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D3C05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4AEE99A2" w14:textId="77777777" w:rsidTr="00FB2B11">
        <w:trPr>
          <w:gridAfter w:val="2"/>
          <w:wAfter w:w="692" w:type="pct"/>
          <w:trHeight w:val="62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45CB6" w14:textId="77777777" w:rsidR="004A30E9" w:rsidRPr="00EF4990" w:rsidRDefault="004A30E9" w:rsidP="000E19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3D4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Параметри процесу термічної обробки для досягнення температури 75</w:t>
            </w:r>
            <w:r w:rsidRPr="00EF4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С у товщі продукту (чи інших умов належної термічної 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обробки) визначено та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97151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D2072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27E2B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F1FC5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B4D7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14.6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061A4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0F5D3F70" w14:textId="77777777" w:rsidTr="00FB2B11">
        <w:trPr>
          <w:gridAfter w:val="2"/>
          <w:wAfter w:w="692" w:type="pct"/>
          <w:trHeight w:val="84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88B983" w14:textId="77777777" w:rsidR="004A30E9" w:rsidRPr="00EF4990" w:rsidRDefault="004A30E9" w:rsidP="000E199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261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Температурні режими повторного розігрівання 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та гарячого подавання дотримано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64FA45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20A67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5C306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077A1A" w14:textId="77777777" w:rsidR="004A30E9" w:rsidRPr="00EF4990" w:rsidRDefault="004A30E9" w:rsidP="000E1999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DE68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14.7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82701" w14:textId="77777777" w:rsidR="004A30E9" w:rsidRPr="00EF4990" w:rsidRDefault="004A30E9" w:rsidP="000E19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2EF1CCCC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758A6" w14:textId="77777777" w:rsidR="004A30E9" w:rsidRPr="00EF4990" w:rsidRDefault="004A30E9" w:rsidP="0050549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8B2E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Усі харчові продукти подаються у спосіб, що дозволяє розділити партії продукту та зап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обігає перехресному забрудненню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84A5C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9A5C9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Щоденно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9B4F5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009E7" w14:textId="77777777" w:rsidR="004A30E9" w:rsidRPr="00EF4990" w:rsidRDefault="004A30E9" w:rsidP="0050549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8FCC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14.8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17DBF" w14:textId="77777777" w:rsidR="004A30E9" w:rsidRPr="00EF4990" w:rsidRDefault="004A30E9" w:rsidP="0050549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5D0234D7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A81BC" w14:textId="77777777" w:rsidR="004A30E9" w:rsidRPr="00EF4990" w:rsidRDefault="004A30E9" w:rsidP="0062005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B1AE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05CBE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1.12.2. Процедури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контролю за непридатними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(невідповідними)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харчовими продуктами, включно з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ристанням за певних умов чи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 цілей,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розроблено. Поводження з 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усіма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непридатними (невідпов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ідними) харчовими продуктами та їх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видалення здійснюють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відповідно до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виду проблеми та/або спеціальних вимог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2BAAB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Щомісячно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FFD34" w14:textId="77777777" w:rsidR="004A30E9" w:rsidRPr="00EF4990" w:rsidRDefault="004A30E9" w:rsidP="00D468F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16784" w14:textId="77777777" w:rsidR="004A30E9" w:rsidRPr="00EF4990" w:rsidRDefault="004A30E9" w:rsidP="00D468F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28F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DEF77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 </w:t>
            </w:r>
          </w:p>
          <w:p w14:paraId="07C850D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2.16.2, 2.16.4 пункту 2.16 розділу ІІ</w:t>
            </w:r>
          </w:p>
          <w:p w14:paraId="2AD2332E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1B94204D" w14:textId="77777777" w:rsidTr="00FB2B11">
        <w:trPr>
          <w:gridAfter w:val="2"/>
          <w:wAfter w:w="692" w:type="pct"/>
          <w:trHeight w:val="79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200BC" w14:textId="77777777" w:rsidR="004A30E9" w:rsidRPr="00EF4990" w:rsidRDefault="004A30E9" w:rsidP="0062005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2.26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03F7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BE222" w14:textId="77777777" w:rsidR="004A30E9" w:rsidRPr="00EF4990" w:rsidRDefault="00210771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1.12.3. Коригувальні дії на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випадок, якщо непридатні (невідповідні)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продукти негативно впливають на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безпечність ха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рчових продуктів, розроблено та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F3686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Щоквартально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B9C68" w14:textId="77777777" w:rsidR="004A30E9" w:rsidRPr="00EF4990" w:rsidRDefault="004A30E9" w:rsidP="00D468F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C0092" w14:textId="77777777" w:rsidR="004A30E9" w:rsidRPr="00EF4990" w:rsidRDefault="004A30E9" w:rsidP="00D468FF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C31F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04D2F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2.16.5 пункту 2.16 розділу ІІ</w:t>
            </w:r>
          </w:p>
          <w:p w14:paraId="40DDE482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EF4990" w:rsidRPr="00EF4990" w14:paraId="71FAF303" w14:textId="77777777" w:rsidTr="006D6267">
        <w:trPr>
          <w:gridAfter w:val="2"/>
          <w:wAfter w:w="692" w:type="pct"/>
          <w:trHeight w:val="259"/>
        </w:trPr>
        <w:tc>
          <w:tcPr>
            <w:tcW w:w="43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CA7F1FB" w14:textId="77777777" w:rsidR="00EF4990" w:rsidRPr="00EF4990" w:rsidRDefault="00EF4990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Style w:val="Bold"/>
                <w:rFonts w:ascii="Times New Roman" w:hAnsi="Times New Roman" w:cs="Times New Roman"/>
                <w:bCs/>
                <w:caps/>
                <w:spacing w:val="0"/>
                <w:sz w:val="24"/>
                <w:szCs w:val="24"/>
              </w:rPr>
              <w:t>3. Постійно діючі процедури, засновані на принципах системи НАССР</w:t>
            </w:r>
          </w:p>
        </w:tc>
      </w:tr>
      <w:tr w:rsidR="00BF2689" w:rsidRPr="00EF4990" w14:paraId="7B838555" w14:textId="77777777" w:rsidTr="008F1738">
        <w:trPr>
          <w:gridAfter w:val="2"/>
          <w:wAfter w:w="692" w:type="pct"/>
          <w:trHeight w:val="50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9A935" w14:textId="77777777" w:rsidR="004A30E9" w:rsidRPr="00EF4990" w:rsidRDefault="00F75121" w:rsidP="00CB79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3E7A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2C18F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2.1. Процедури, з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асновані на принципах НАССР, що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ох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оплюють усі харчові продукти, 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також сировину,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процеси та матеріали, що можуть впливати на безпечність харчових продуктів, розроблено, запроваджено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використовуються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872E0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BD2BE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094EB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E9AA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5A06FB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3.1</w:t>
            </w:r>
          </w:p>
          <w:p w14:paraId="76CABE6C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 ІІІ наказу № 590;</w:t>
            </w:r>
          </w:p>
          <w:p w14:paraId="5AF81D29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 перша статті 21 ЗУ № 771/97-ВР</w:t>
            </w:r>
          </w:p>
        </w:tc>
      </w:tr>
      <w:tr w:rsidR="00BF2689" w:rsidRPr="00EF4990" w14:paraId="29BDC643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9F0D1B" w14:textId="77777777" w:rsidR="004A30E9" w:rsidRPr="00EF4990" w:rsidRDefault="00F75121" w:rsidP="00CB79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F23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97B99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2. У разі змін у кількісному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якісному складі інг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редієнтів харчового продукту, 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будь-якій стадії виробництва т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 обігу, які можуть вплинути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безпечність харчового проду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кту, процедури, що засновані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нципах НАССР,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переглядаються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оновлюються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478B06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AD5B58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96039B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1378" w14:textId="77777777" w:rsidR="004A30E9" w:rsidRPr="00EF4990" w:rsidRDefault="00B12EB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8CB5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Частина п’ята статті 21 ЗУ № 771/97-ВР</w:t>
            </w:r>
          </w:p>
        </w:tc>
      </w:tr>
      <w:tr w:rsidR="00BF2689" w:rsidRPr="00EF4990" w14:paraId="127324BA" w14:textId="77777777" w:rsidTr="00FB2B11">
        <w:trPr>
          <w:gridAfter w:val="2"/>
          <w:wAfter w:w="692" w:type="pct"/>
          <w:trHeight w:val="6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BC344" w14:textId="77777777" w:rsidR="004A30E9" w:rsidRPr="00EF4990" w:rsidRDefault="00F75121" w:rsidP="00CB79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FA1E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Оптимальну кількість членів групи НАССР встановлено, завдання для керівництва групи НАССР визначено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E38D3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2.3. Групу НАССР створено згідн</w:t>
            </w:r>
            <w:r w:rsidR="0021077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 зі встановленими вимогами, її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склад визначено та затверджено керівництвом потужності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6CE19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ED4796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E0094D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792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C4BC2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Пункти 3.4–3.8 розділу ІІІ наказу № 590</w:t>
            </w:r>
          </w:p>
        </w:tc>
      </w:tr>
      <w:tr w:rsidR="00BF2689" w:rsidRPr="00EF4990" w14:paraId="7BCA1523" w14:textId="77777777" w:rsidTr="00FB2B11">
        <w:trPr>
          <w:gridAfter w:val="2"/>
          <w:wAfter w:w="692" w:type="pct"/>
          <w:trHeight w:val="97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549F7A" w14:textId="77777777" w:rsidR="004A30E9" w:rsidRPr="00EF4990" w:rsidRDefault="00F75121" w:rsidP="00CB79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618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BCA58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2.4. Визначено сфе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ру застосування системи НАССР,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 розповсюдж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ується на технологічні процеси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види небе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зпечних факторів, що вивчаються й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досліджуються, розроблено пов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ний опис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харчового продукту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E3A5A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B18B3A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70590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8D1" w14:textId="77777777" w:rsidR="004A30E9" w:rsidRPr="00EF4990" w:rsidRDefault="00B12EB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F5C2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3.9</w:t>
            </w:r>
          </w:p>
          <w:p w14:paraId="20BF4965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 ІІІ</w:t>
            </w:r>
          </w:p>
          <w:p w14:paraId="656F5984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4B1891BC" w14:textId="77777777" w:rsidTr="00FB2B11">
        <w:trPr>
          <w:gridAfter w:val="2"/>
          <w:wAfter w:w="692" w:type="pct"/>
          <w:trHeight w:val="61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9C70B" w14:textId="77777777" w:rsidR="004A30E9" w:rsidRPr="00EF4990" w:rsidRDefault="00F75121" w:rsidP="00CB79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B70E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Інформація про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продукт включно з  інгредієнтами, умовами зберігання, приготування тощо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наявна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C678F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2.5. Повний о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пис харчового продукту містить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актуальну інформацію щ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одо його безпечності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 з встановленими вимогами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D99C4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0AC40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CE7FF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E5D2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98E5F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Пункти </w:t>
            </w:r>
          </w:p>
          <w:p w14:paraId="76078742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3.10, 3.11 розділу ІІІ</w:t>
            </w:r>
          </w:p>
          <w:p w14:paraId="19DCEA63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6501F3B3" w14:textId="77777777" w:rsidTr="009F49B6">
        <w:trPr>
          <w:gridAfter w:val="2"/>
          <w:wAfter w:w="692" w:type="pct"/>
          <w:trHeight w:val="21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BB4DD" w14:textId="77777777" w:rsidR="004A30E9" w:rsidRPr="00EF4990" w:rsidRDefault="00F75121" w:rsidP="00CB79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3469" w14:textId="77777777" w:rsidR="004A30E9" w:rsidRPr="009F49B6" w:rsidRDefault="00BF2689" w:rsidP="009F49B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Настановах, перевіряти за вимогою Наказу</w:t>
            </w:r>
            <w:r w:rsidR="009F4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C58DD7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2.6. Передбачуваний спосіб споживання харчового продукту споживачами, для яких цей продукт призначено, групою НАССР визначено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F47F3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D7FCC3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88341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3A38" w14:textId="77777777" w:rsidR="004A30E9" w:rsidRPr="00EF4990" w:rsidRDefault="00B12EB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63583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3.13 розділу ІІІ</w:t>
            </w:r>
          </w:p>
          <w:p w14:paraId="6B9F9AC9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7A6167D5" w14:textId="77777777" w:rsidTr="00FB2B11">
        <w:trPr>
          <w:gridAfter w:val="2"/>
          <w:wAfter w:w="692" w:type="pct"/>
          <w:trHeight w:val="97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EFC69" w14:textId="77777777" w:rsidR="004A30E9" w:rsidRPr="00EF4990" w:rsidRDefault="00F75121" w:rsidP="00CB797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E93" w14:textId="77777777" w:rsidR="004A30E9" w:rsidRPr="00EF4990" w:rsidRDefault="004A30E9" w:rsidP="00A3776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Блок-схема відображає усі технологічні процеси на потужності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A13B7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2.7. Блок-схеми технологічного процесу щодо кожного харчового продукту, які охоплюють усі етапи його виробництва та/або обігу, розроблено, їх відповідність дій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сним технологічним процесам під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 роботи потужності підтверджено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3260D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7A102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88CDC" w14:textId="77777777" w:rsidR="004A30E9" w:rsidRPr="00EF4990" w:rsidRDefault="004A30E9" w:rsidP="00CB797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A88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18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6B1EC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Пункти </w:t>
            </w:r>
          </w:p>
          <w:p w14:paraId="7BA4A7F0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3.16, 3.19 розділу ІІІ</w:t>
            </w:r>
          </w:p>
          <w:p w14:paraId="76CB900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3677F712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949FF" w14:textId="77777777" w:rsidR="004A30E9" w:rsidRPr="00EF4990" w:rsidRDefault="00F75121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.8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999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Ідентифікацію 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 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аналіз небезпечних факторів 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кожному етапі технологічного процесу його виробниц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тва та/або обігу, починаючи від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надходження сировини, проведено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DEB1B" w14:textId="77777777" w:rsidR="004A30E9" w:rsidRPr="00EF4990" w:rsidRDefault="009F49B6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2.8. Ідентифікацію та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аналіз небезпечних факторі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 щодо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кожного харчового продукту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на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кожному етапі технологічного процесу його виробниц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тва та/або обігу, починаючи від 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надходження сировини, проведено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111C7C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EAB4C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E4BD0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562A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Абзаци </w:t>
            </w:r>
          </w:p>
          <w:p w14:paraId="54093670" w14:textId="77777777" w:rsidR="00EF4990" w:rsidRPr="00EF4990" w:rsidRDefault="00B12EB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перший -третій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 п’ятий</w:t>
            </w:r>
          </w:p>
          <w:p w14:paraId="007A54D6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</w:t>
            </w:r>
            <w:r w:rsidR="00EF4990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ту 19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549AA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Пункти </w:t>
            </w:r>
          </w:p>
          <w:p w14:paraId="7BB7FA3D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3.15, 3.20 розділу ІІІ</w:t>
            </w:r>
          </w:p>
          <w:p w14:paraId="5C07E8B9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 пункт 1 частини третьої статті 21 ЗУ № 771/97-ВР</w:t>
            </w:r>
          </w:p>
        </w:tc>
      </w:tr>
      <w:tr w:rsidR="00BF2689" w:rsidRPr="00EF4990" w14:paraId="3C6716FE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E3CAA" w14:textId="77777777" w:rsidR="004A30E9" w:rsidRPr="00EF4990" w:rsidRDefault="00F75121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.9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1867" w14:textId="77777777" w:rsidR="004A30E9" w:rsidRPr="00EF4990" w:rsidRDefault="00DC74EA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Впроваджено так званий </w:t>
            </w:r>
            <w:r w:rsidR="009F49B6">
              <w:rPr>
                <w:rFonts w:ascii="Times New Roman" w:hAnsi="Times New Roman" w:cs="Times New Roman"/>
                <w:sz w:val="24"/>
                <w:szCs w:val="24"/>
              </w:rPr>
              <w:t>«горизонтальний»</w:t>
            </w:r>
            <w:r w:rsidR="004A30E9" w:rsidRPr="00EF4990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дослідження системи НАССР – проведено аналіз небезпечних факторів на етапах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оцесу безвідносно до продукції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070EAB" w14:textId="77777777" w:rsidR="004A30E9" w:rsidRPr="00EF4990" w:rsidRDefault="009F49B6" w:rsidP="009F49B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A9B81" w14:textId="77777777" w:rsidR="004A30E9" w:rsidRPr="00EF4990" w:rsidRDefault="00B12EB0" w:rsidP="000D2EF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C4E34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0C60F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E486" w14:textId="77777777" w:rsidR="004A30E9" w:rsidRPr="00EF4990" w:rsidRDefault="00EF499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Абзац </w:t>
            </w:r>
            <w:r w:rsidR="00B12EB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четвертий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ункту 19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DC68F" w14:textId="77777777" w:rsidR="004A30E9" w:rsidRPr="00EF4990" w:rsidRDefault="009F49B6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</w:tr>
      <w:tr w:rsidR="00BF2689" w:rsidRPr="00EF4990" w14:paraId="7C9BF351" w14:textId="77777777" w:rsidTr="00FB2B11">
        <w:trPr>
          <w:gridAfter w:val="2"/>
          <w:wAfter w:w="692" w:type="pct"/>
          <w:trHeight w:val="115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9ED35" w14:textId="77777777" w:rsidR="004A30E9" w:rsidRPr="00EF4990" w:rsidRDefault="00F75121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.10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E969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Критичні контрольні точки ідентифіковано відповідно до си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туації на конкретній потужності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05536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2.9. Критичні</w:t>
            </w:r>
            <w:r w:rsidR="00F7512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контрольні точки (далі - ККТ)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визначено</w:t>
            </w:r>
            <w:r w:rsidR="00F7512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(ідентифіковано) групою НАССР 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 </w:t>
            </w:r>
            <w:proofErr w:type="spellStart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логічно</w:t>
            </w:r>
            <w:proofErr w:type="spellEnd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обґрунтовано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41BA07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A8E56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35362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9DC8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20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F0EE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3.21.1</w:t>
            </w:r>
          </w:p>
          <w:p w14:paraId="4C2683D2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3.21 розділу ІІІ наказу № 590; пункт 2 частини третьої статті 21 ЗУ № 771/97-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ВР</w:t>
            </w:r>
          </w:p>
        </w:tc>
      </w:tr>
      <w:tr w:rsidR="00BF2689" w:rsidRPr="00EF4990" w14:paraId="5166D5B2" w14:textId="77777777" w:rsidTr="00FB2B11">
        <w:trPr>
          <w:gridAfter w:val="2"/>
          <w:wAfter w:w="692" w:type="pct"/>
          <w:trHeight w:val="133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25713" w14:textId="77777777" w:rsidR="004A30E9" w:rsidRPr="00EF4990" w:rsidRDefault="00F75121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3610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Критичні межі розділяють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між прийнятні і неп</w:t>
            </w:r>
            <w:r w:rsidR="00DC74EA">
              <w:rPr>
                <w:rFonts w:ascii="Times New Roman" w:hAnsi="Times New Roman" w:cs="Times New Roman"/>
                <w:sz w:val="24"/>
                <w:szCs w:val="24"/>
              </w:rPr>
              <w:t>рийнятні характеристики процесу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1DEC91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2.10.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Обґрунтовані критичні межі для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кожної ККТ встановлено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927C1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46EFFB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133FF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7FE1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21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7DBB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</w:t>
            </w:r>
          </w:p>
          <w:p w14:paraId="0286421C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3.22.2, 3.22.4</w:t>
            </w:r>
          </w:p>
          <w:p w14:paraId="73A2DC93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 3.22 розділу ІІІ наказу № 590;</w:t>
            </w:r>
          </w:p>
          <w:p w14:paraId="49F4DA4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3 частини третьої статті 21 ЗУ № 771/97-ВР</w:t>
            </w:r>
          </w:p>
        </w:tc>
      </w:tr>
      <w:tr w:rsidR="00BF2689" w:rsidRPr="00EF4990" w14:paraId="63370EE8" w14:textId="77777777" w:rsidTr="00FB2B11">
        <w:trPr>
          <w:gridAfter w:val="2"/>
          <w:wAfter w:w="692" w:type="pct"/>
          <w:trHeight w:val="82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120E9D3" w14:textId="77777777" w:rsidR="004A30E9" w:rsidRPr="00EF4990" w:rsidRDefault="00F75121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2D87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Процедури моніторингу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містять наступну інформа</w:t>
            </w:r>
            <w:r w:rsidR="00B75A99">
              <w:rPr>
                <w:rFonts w:ascii="Times New Roman" w:hAnsi="Times New Roman" w:cs="Times New Roman"/>
                <w:sz w:val="24"/>
                <w:szCs w:val="24"/>
              </w:rPr>
              <w:t xml:space="preserve">цію: параметри що вимірюються, </w:t>
            </w: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критичні межі, періодичність вимірювань (чи постійні вимірювання), спосіб проведення вимірювання, обладнання, яке використовується при цьому, працівник, який проводить вимірювання, заміна виконавця, ведення записів, працівники, які перевіряють проведення вимірювань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C5A60D9" w14:textId="77777777" w:rsidR="004A30E9" w:rsidRPr="00EF4990" w:rsidRDefault="004A30E9" w:rsidP="009F49B6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2.11. Процедур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 моніторингу щодо </w:t>
            </w:r>
            <w:r w:rsidR="00F7512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кожної ККТ, 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які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дають </w:t>
            </w:r>
            <w:r w:rsidR="009F49B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змогу встановити, чи </w:t>
            </w:r>
            <w:r w:rsidR="00F75121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дотримано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критичних меж,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421F48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DB6B458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316DBD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700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22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552A5CF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3.23.4</w:t>
            </w:r>
          </w:p>
          <w:p w14:paraId="1EAFC4F4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пункту 3.23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розділу ІІІ</w:t>
            </w:r>
          </w:p>
          <w:p w14:paraId="58237472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21E2BBCA" w14:textId="77777777" w:rsidTr="00FB2B11">
        <w:trPr>
          <w:gridAfter w:val="2"/>
          <w:wAfter w:w="692" w:type="pct"/>
          <w:trHeight w:val="827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243BDC9" w14:textId="77777777" w:rsidR="004A30E9" w:rsidRPr="00EF4990" w:rsidRDefault="00F75121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A41" w14:textId="77777777" w:rsidR="004A30E9" w:rsidRPr="00B75A99" w:rsidRDefault="00BF2689" w:rsidP="00B75A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Відсутня у Настановах, </w:t>
            </w:r>
            <w:r w:rsidR="00B7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894381B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2.12. Протоколи моніторингу ККТ ведуться та заповнюються відразу після проведення вимірювань та/або спостережень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939625C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97F5BAE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5ED1082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0D16" w14:textId="77777777" w:rsidR="004A30E9" w:rsidRPr="00EF4990" w:rsidRDefault="00B12EB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AC5F83B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Підпункт 3.23.5 пункту 3.23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розділу ІІІ</w:t>
            </w:r>
          </w:p>
          <w:p w14:paraId="77D0D75B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</w:t>
            </w:r>
          </w:p>
        </w:tc>
      </w:tr>
      <w:tr w:rsidR="00BF2689" w:rsidRPr="00EF4990" w14:paraId="5FE81293" w14:textId="77777777" w:rsidTr="00FB2B11">
        <w:trPr>
          <w:gridAfter w:val="2"/>
          <w:wAfter w:w="692" w:type="pct"/>
          <w:trHeight w:val="154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24B066F" w14:textId="77777777" w:rsidR="004A30E9" w:rsidRPr="00EF4990" w:rsidRDefault="00F75121" w:rsidP="00F751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7FD4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Порядок коригувальних дій є визначеним, відомим усім відповідал</w:t>
            </w:r>
            <w:r w:rsidR="00DC74E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ьним працівникам і впровадженим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92EC801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2.13. Коригувальні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дії для кожної ККТ, які 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можна 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негайно застосувати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разі, якщо моні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торинг вказує на відхилення від критичних меж, відповідно до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становлених вимог розроблено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задокументовано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2BB75A0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C9C5BDB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57CCD82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ABC0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23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29DAF14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 </w:t>
            </w:r>
          </w:p>
          <w:p w14:paraId="3652734C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3.24.1–3.24.6 пункту 3.24 розділу ІІІ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наказу № 590;</w:t>
            </w:r>
          </w:p>
          <w:p w14:paraId="141E0D11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 5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третьої статті 21 ЗУ № 771/97-ВР</w:t>
            </w:r>
          </w:p>
        </w:tc>
      </w:tr>
      <w:tr w:rsidR="00BF2689" w:rsidRPr="00EF4990" w14:paraId="635D1875" w14:textId="77777777" w:rsidTr="00FB2B11">
        <w:trPr>
          <w:gridAfter w:val="2"/>
          <w:wAfter w:w="692" w:type="pct"/>
          <w:trHeight w:val="118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51D8397" w14:textId="77777777" w:rsidR="004A30E9" w:rsidRPr="00EF4990" w:rsidRDefault="00F75121" w:rsidP="00F751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312A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Валідація</w:t>
            </w:r>
            <w:proofErr w:type="spellEnd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проводиться при впров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адженні НАССР та у випадку змін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AC0F505" w14:textId="77777777" w:rsidR="004A30E9" w:rsidRPr="00EF4990" w:rsidRDefault="004A30E9" w:rsidP="00BF2AF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2.14. Процедури </w:t>
            </w:r>
            <w:proofErr w:type="spellStart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валіда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ції</w:t>
            </w:r>
            <w:proofErr w:type="spellEnd"/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та верифікації (перевірки), які дозволяють встановити, чи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истема НАССР працює правильно 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ефективно,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78495B6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470393D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050B600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D37F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24.1</w:t>
            </w: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158A381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3.25 розділу ІІІ наказу № 590;</w:t>
            </w:r>
          </w:p>
          <w:p w14:paraId="108542B7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 6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третьої статті 21 ЗУ № 771/97-ВР</w:t>
            </w:r>
          </w:p>
        </w:tc>
      </w:tr>
      <w:tr w:rsidR="00BF2689" w:rsidRPr="00EF4990" w14:paraId="3D5EE9B0" w14:textId="77777777" w:rsidTr="00FB2B11">
        <w:trPr>
          <w:gridAfter w:val="2"/>
          <w:wAfter w:w="692" w:type="pct"/>
          <w:trHeight w:val="60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5802044" w14:textId="77777777" w:rsidR="004A30E9" w:rsidRPr="00EF4990" w:rsidRDefault="00F75121" w:rsidP="00F751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96D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z w:val="24"/>
                <w:szCs w:val="24"/>
              </w:rPr>
              <w:t>Верифікація проводить</w:t>
            </w:r>
            <w:r w:rsidR="00BF2689">
              <w:rPr>
                <w:rFonts w:ascii="Times New Roman" w:hAnsi="Times New Roman" w:cs="Times New Roman"/>
                <w:sz w:val="24"/>
                <w:szCs w:val="24"/>
              </w:rPr>
              <w:t>ся не рідше, ніж один раз у рік</w:t>
            </w:r>
          </w:p>
        </w:tc>
        <w:tc>
          <w:tcPr>
            <w:tcW w:w="1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23EE155" w14:textId="77777777" w:rsidR="004A30E9" w:rsidRPr="00EF4990" w:rsidRDefault="004A30E9" w:rsidP="0043485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573F56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B25AEB1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FAB9E16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671F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24.2</w:t>
            </w:r>
          </w:p>
        </w:tc>
        <w:tc>
          <w:tcPr>
            <w:tcW w:w="5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36CBB6C" w14:textId="77777777" w:rsidR="004A30E9" w:rsidRPr="00EF4990" w:rsidRDefault="004A30E9" w:rsidP="0043485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BF2689" w:rsidRPr="00EF4990" w14:paraId="1B952A9D" w14:textId="77777777" w:rsidTr="00FB2B11">
        <w:trPr>
          <w:gridAfter w:val="2"/>
          <w:wAfter w:w="692" w:type="pct"/>
          <w:trHeight w:val="1546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37DB67" w14:textId="77777777" w:rsidR="004A30E9" w:rsidRPr="00EF4990" w:rsidRDefault="00F75121" w:rsidP="00F7512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EFC8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Систему документації впроваджено як спосіб надання доказів дієвості процедур</w:t>
            </w:r>
            <w:r w:rsidR="00BF268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заснованих на принципах НАССР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D43C51E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2.15. Документи системи НАССР відповідають виду діяльності, обсягам виробництва, особлив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остям технологічних процесів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дозво</w:t>
            </w:r>
            <w:r w:rsid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ляють перевірити впровадження і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результативність застосування заходів контролю, передбачених системою НАССР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BEDD43C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F3CE72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D43E4A7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A40" w14:textId="77777777" w:rsidR="004A30E9" w:rsidRPr="00EF4990" w:rsidRDefault="00EF4990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 25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66F79D7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Підпункти </w:t>
            </w:r>
          </w:p>
          <w:p w14:paraId="6DA1F69C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3.26.4, 3.26.5 пункту 3.26 розділу ІІІ</w:t>
            </w:r>
          </w:p>
          <w:p w14:paraId="797EAB3D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наказу № 590;</w:t>
            </w:r>
          </w:p>
          <w:p w14:paraId="0B7C4B02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 7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третьої статті 21</w:t>
            </w:r>
          </w:p>
          <w:p w14:paraId="3A564B57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771/97-ВР</w:t>
            </w:r>
          </w:p>
        </w:tc>
      </w:tr>
      <w:tr w:rsidR="00EF4990" w:rsidRPr="00EF4990" w14:paraId="7963D876" w14:textId="77777777" w:rsidTr="006D6267">
        <w:trPr>
          <w:gridAfter w:val="2"/>
          <w:wAfter w:w="692" w:type="pct"/>
          <w:trHeight w:val="288"/>
        </w:trPr>
        <w:tc>
          <w:tcPr>
            <w:tcW w:w="43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49092FD" w14:textId="77777777" w:rsidR="00EF4990" w:rsidRPr="00EF4990" w:rsidRDefault="000D2EF2" w:rsidP="000D2EF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bCs/>
                <w:caps/>
                <w:spacing w:val="0"/>
                <w:sz w:val="24"/>
                <w:szCs w:val="24"/>
              </w:rPr>
              <w:t>4</w:t>
            </w:r>
            <w:r w:rsidR="00EF4990" w:rsidRPr="00EF4990">
              <w:rPr>
                <w:rStyle w:val="Bold"/>
                <w:rFonts w:ascii="Times New Roman" w:hAnsi="Times New Roman" w:cs="Times New Roman"/>
                <w:bCs/>
                <w:caps/>
                <w:spacing w:val="0"/>
                <w:sz w:val="24"/>
                <w:szCs w:val="24"/>
              </w:rPr>
              <w:t>. Процедури, які забезпечують ефективне функціонування системи НАССР</w:t>
            </w:r>
          </w:p>
        </w:tc>
      </w:tr>
      <w:tr w:rsidR="00BF2689" w:rsidRPr="00EF4990" w14:paraId="4AEE6C22" w14:textId="77777777" w:rsidTr="008F1738">
        <w:trPr>
          <w:gridAfter w:val="2"/>
          <w:wAfter w:w="692" w:type="pct"/>
          <w:trHeight w:val="34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6741DEF" w14:textId="77777777" w:rsidR="004A30E9" w:rsidRPr="00EF4990" w:rsidRDefault="000D2EF2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FF11" w14:textId="77777777" w:rsidR="004A30E9" w:rsidRPr="00B75A99" w:rsidRDefault="00BF268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BF268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Відсутня у Настанова</w:t>
            </w:r>
            <w:r w:rsidR="00B75A9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х, перевіряти </w:t>
            </w:r>
            <w:r w:rsidR="00B75A9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lastRenderedPageBreak/>
              <w:t xml:space="preserve">за вимогою Наказу </w:t>
            </w:r>
            <w:r w:rsidRPr="00BF2689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AC1ED38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3.1. Персонал потужності володіє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пропорційними знанн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ями системи НАССР відповідно до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 посадових обов’язків, періодично проходить навчання щод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 гігієнічних вимог до виробництва та обігу харчових продуктів у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цього оператора ринку. Періодичність такого навчання встановлено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CB6401B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Щорічно або </w:t>
            </w: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6C61F95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9B64D74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2910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A22476B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 5.1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розділу V наказу № 590;</w:t>
            </w:r>
          </w:p>
          <w:p w14:paraId="701AB068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2 частини першої статті 48 ЗУ № 771/97-ВР</w:t>
            </w:r>
          </w:p>
        </w:tc>
      </w:tr>
      <w:tr w:rsidR="00BF2689" w:rsidRPr="00EF4990" w14:paraId="79077014" w14:textId="77777777" w:rsidTr="00FB2B11">
        <w:trPr>
          <w:gridAfter w:val="2"/>
          <w:wAfter w:w="692" w:type="pct"/>
          <w:trHeight w:val="46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7B732FD" w14:textId="77777777" w:rsidR="004A30E9" w:rsidRPr="00EF4990" w:rsidRDefault="000D2EF2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4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D733" w14:textId="77777777" w:rsidR="004A30E9" w:rsidRPr="00B75A99" w:rsidRDefault="00BF2689" w:rsidP="00B75A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B7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EEB7759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3.2. Проц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едури проведення коригувальних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запобіжних заходів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A4E7789" w14:textId="77777777" w:rsidR="004A30E9" w:rsidRPr="00EF4990" w:rsidRDefault="004A30E9" w:rsidP="000D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F4C9351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7BC6E61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6511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8A9113F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 5.14 розділу V наказу № 590</w:t>
            </w:r>
          </w:p>
        </w:tc>
      </w:tr>
      <w:tr w:rsidR="00BF2689" w:rsidRPr="00EF4990" w14:paraId="61E05147" w14:textId="77777777" w:rsidTr="00FB2B11">
        <w:trPr>
          <w:gridAfter w:val="2"/>
          <w:wAfter w:w="692" w:type="pct"/>
          <w:trHeight w:val="172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D63B96F" w14:textId="77777777" w:rsidR="004A30E9" w:rsidRPr="00EF4990" w:rsidRDefault="000D2EF2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F10" w14:textId="77777777" w:rsidR="004A30E9" w:rsidRPr="00B75A99" w:rsidRDefault="00BF2689" w:rsidP="00B75A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B7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EC1ED8E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3.3. Систему забезпечення простежуваності харчових продуктів, яка дозволяє оператору ринку встано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вити інших операторів ринку, що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постачають йому харчові продукти (інші об’єкти санітарних заходів), та операторів ринку, яким він постачає харчові продукти (інші об’єкти санітарних за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ходів), впроваджено. Системи та процедури, що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забезпеч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ують доступність інформації про </w:t>
            </w:r>
            <w:proofErr w:type="spellStart"/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простежу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ваність</w:t>
            </w:r>
            <w:proofErr w:type="spellEnd"/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компетентному органу за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 запитами, застосовуються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0C313EA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6DFBBBF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03249A7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7F82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968712C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 5.24.1 пункту 5.24</w:t>
            </w:r>
          </w:p>
          <w:p w14:paraId="46CA81BF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 V наказу № 590; стаття 22 ЗУ № 771/97-ВР</w:t>
            </w:r>
          </w:p>
        </w:tc>
      </w:tr>
      <w:tr w:rsidR="00BF2689" w:rsidRPr="00EF4990" w14:paraId="183AF3DA" w14:textId="77777777" w:rsidTr="008F1738">
        <w:trPr>
          <w:gridAfter w:val="2"/>
          <w:wAfter w:w="692" w:type="pct"/>
          <w:trHeight w:val="47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59B0946" w14:textId="77777777" w:rsidR="004A30E9" w:rsidRPr="00EF4990" w:rsidRDefault="000D2EF2" w:rsidP="0043485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  <w:r w:rsidR="004A30E9"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.4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C5A1" w14:textId="77777777" w:rsidR="004A30E9" w:rsidRPr="00B75A99" w:rsidRDefault="00BF2689" w:rsidP="00B75A9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Відсутня у Настанова</w:t>
            </w:r>
            <w:r w:rsidR="00B7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перевіряти за вимогою Наказу </w:t>
            </w:r>
            <w:r w:rsidRPr="00480E90">
              <w:rPr>
                <w:rFonts w:ascii="Times New Roman" w:hAnsi="Times New Roman" w:cs="Times New Roman"/>
                <w:i/>
                <w:sz w:val="24"/>
                <w:szCs w:val="24"/>
              </w:rPr>
              <w:t>№ 446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30D8D6C" w14:textId="77777777" w:rsidR="004A30E9" w:rsidRPr="00EF4990" w:rsidRDefault="004A30E9" w:rsidP="00B75A99">
            <w:pPr>
              <w:pStyle w:val="TableTABL"/>
              <w:ind w:left="57" w:right="57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  <w:r w:rsidR="00D059B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4.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Процедуру відкликання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вилучення харчових продук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тів, які перебувають в обігу та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можут</w:t>
            </w:r>
            <w:r w:rsidR="00B75A9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ь спричинити шкідливий вплив на </w:t>
            </w:r>
            <w:r w:rsidRPr="00EF499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здоров’я людини, впроваджено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9F76390" w14:textId="77777777" w:rsidR="004A30E9" w:rsidRPr="00EF4990" w:rsidRDefault="004A30E9" w:rsidP="000D2EF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EF4990">
              <w:rPr>
                <w:color w:val="auto"/>
                <w:lang w:val="uk-UA"/>
              </w:rPr>
              <w:t>Щорічно або за потреби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2B38AEA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CE519A9" w14:textId="77777777" w:rsidR="004A30E9" w:rsidRPr="00EF4990" w:rsidRDefault="004A30E9" w:rsidP="0043485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3C65" w14:textId="77777777" w:rsidR="004A30E9" w:rsidRPr="00EF4990" w:rsidRDefault="00B12EB0" w:rsidP="00B12EB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C17938E" w14:textId="77777777" w:rsid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 п’ятий підпункту </w:t>
            </w:r>
          </w:p>
          <w:p w14:paraId="3F849683" w14:textId="77777777" w:rsidR="00BF2AFD" w:rsidRP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5.24.5.4 підпункту 5.24.5 пункту 5.24 </w:t>
            </w:r>
            <w:r w:rsidRP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розділу V наказу № 590; </w:t>
            </w:r>
          </w:p>
          <w:p w14:paraId="5C8EF6F4" w14:textId="77777777" w:rsidR="004A30E9" w:rsidRPr="00BF2AFD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пункт 7 </w:t>
            </w:r>
            <w:r w:rsidRP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частини другої статті 20</w:t>
            </w:r>
          </w:p>
          <w:p w14:paraId="73A4E6E6" w14:textId="77777777" w:rsidR="004A30E9" w:rsidRPr="00EF4990" w:rsidRDefault="004A30E9" w:rsidP="00BF2AF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BF2AF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ЗУ № 771/97-ВР</w:t>
            </w:r>
          </w:p>
        </w:tc>
      </w:tr>
    </w:tbl>
    <w:p w14:paraId="28A9B40F" w14:textId="77777777" w:rsidR="00D651CB" w:rsidRPr="003753C3" w:rsidRDefault="00D651CB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14:paraId="116D7054" w14:textId="77777777" w:rsidR="00D651CB" w:rsidRPr="003753C3" w:rsidRDefault="00D651CB">
      <w:pPr>
        <w:pStyle w:val="Ch64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3753C3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Примітка.</w:t>
      </w:r>
      <w:r w:rsidRPr="003753C3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</w:t>
      </w:r>
      <w:r w:rsidRPr="003753C3">
        <w:rPr>
          <w:rFonts w:ascii="Times New Roman" w:hAnsi="Times New Roman" w:cs="Times New Roman"/>
          <w:w w:val="100"/>
          <w:sz w:val="24"/>
          <w:szCs w:val="24"/>
        </w:rPr>
        <w:t>Пояснення до позначень:</w:t>
      </w:r>
    </w:p>
    <w:p w14:paraId="2E7B07EE" w14:textId="77777777" w:rsidR="00D651CB" w:rsidRPr="003753C3" w:rsidRDefault="00D651CB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753C3">
        <w:rPr>
          <w:rFonts w:ascii="Times New Roman" w:hAnsi="Times New Roman" w:cs="Times New Roman"/>
          <w:w w:val="100"/>
          <w:sz w:val="24"/>
          <w:szCs w:val="24"/>
        </w:rPr>
        <w:t>«Так» - позитивна відповідь на поставлене питання;</w:t>
      </w:r>
    </w:p>
    <w:p w14:paraId="40EBFEE4" w14:textId="77777777" w:rsidR="00D651CB" w:rsidRPr="003753C3" w:rsidRDefault="00D651CB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753C3">
        <w:rPr>
          <w:rFonts w:ascii="Times New Roman" w:hAnsi="Times New Roman" w:cs="Times New Roman"/>
          <w:w w:val="100"/>
          <w:sz w:val="24"/>
          <w:szCs w:val="24"/>
        </w:rPr>
        <w:t xml:space="preserve">«Ні» - негативна </w:t>
      </w:r>
      <w:r w:rsidR="00EF4990">
        <w:rPr>
          <w:rFonts w:ascii="Times New Roman" w:hAnsi="Times New Roman" w:cs="Times New Roman"/>
          <w:w w:val="100"/>
          <w:sz w:val="24"/>
          <w:szCs w:val="24"/>
        </w:rPr>
        <w:t>відповідь на поставлене питання.</w:t>
      </w:r>
    </w:p>
    <w:p w14:paraId="389E4AF8" w14:textId="77777777" w:rsidR="00D651CB" w:rsidRPr="003753C3" w:rsidRDefault="00D651CB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sectPr w:rsidR="00D651CB" w:rsidRPr="003753C3" w:rsidSect="00702334">
      <w:footerReference w:type="default" r:id="rId8"/>
      <w:pgSz w:w="16838" w:h="11906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EEAC" w14:textId="77777777" w:rsidR="00D737DD" w:rsidRDefault="00D737DD">
      <w:pPr>
        <w:spacing w:after="0" w:line="240" w:lineRule="auto"/>
      </w:pPr>
      <w:r>
        <w:separator/>
      </w:r>
    </w:p>
  </w:endnote>
  <w:endnote w:type="continuationSeparator" w:id="0">
    <w:p w14:paraId="6B8D6541" w14:textId="77777777" w:rsidR="00D737DD" w:rsidRDefault="00D7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-Regular">
    <w:altName w:val="Malgun Gothic Semilight"/>
    <w:panose1 w:val="00000000000000000000"/>
    <w:charset w:val="81"/>
    <w:family w:val="swiss"/>
    <w:notTrueType/>
    <w:pitch w:val="default"/>
    <w:sig w:usb0="00000201" w:usb1="0906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652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C68413" w14:textId="77777777" w:rsidR="008F1738" w:rsidRPr="008F1738" w:rsidRDefault="008F1738">
        <w:pPr>
          <w:pStyle w:val="aff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17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7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7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799" w:rsidRPr="00CE279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36</w:t>
        </w:r>
        <w:r w:rsidRPr="008F17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C5A000" w14:textId="77777777" w:rsidR="008F1738" w:rsidRDefault="008F1738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E2B3" w14:textId="77777777" w:rsidR="00D737DD" w:rsidRDefault="00D737DD">
      <w:pPr>
        <w:spacing w:after="0" w:line="240" w:lineRule="auto"/>
      </w:pPr>
      <w:r>
        <w:separator/>
      </w:r>
    </w:p>
  </w:footnote>
  <w:footnote w:type="continuationSeparator" w:id="0">
    <w:p w14:paraId="1A37C528" w14:textId="77777777" w:rsidR="00D737DD" w:rsidRDefault="00D7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346C"/>
    <w:multiLevelType w:val="hybridMultilevel"/>
    <w:tmpl w:val="4894DB6C"/>
    <w:lvl w:ilvl="0" w:tplc="5C186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B40FD"/>
    <w:multiLevelType w:val="hybridMultilevel"/>
    <w:tmpl w:val="E5D00722"/>
    <w:lvl w:ilvl="0" w:tplc="3B905F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B43F9"/>
    <w:multiLevelType w:val="hybridMultilevel"/>
    <w:tmpl w:val="F2E25AD4"/>
    <w:lvl w:ilvl="0" w:tplc="3B905F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71A16"/>
    <w:multiLevelType w:val="multilevel"/>
    <w:tmpl w:val="C3088D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AB1EA5"/>
    <w:multiLevelType w:val="hybridMultilevel"/>
    <w:tmpl w:val="A086A1CA"/>
    <w:lvl w:ilvl="0" w:tplc="D1D4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1A"/>
    <w:rsid w:val="00017668"/>
    <w:rsid w:val="00035509"/>
    <w:rsid w:val="00037C06"/>
    <w:rsid w:val="00040730"/>
    <w:rsid w:val="00047CB6"/>
    <w:rsid w:val="00056595"/>
    <w:rsid w:val="00060185"/>
    <w:rsid w:val="00066C7E"/>
    <w:rsid w:val="000A311D"/>
    <w:rsid w:val="000A3E87"/>
    <w:rsid w:val="000C216A"/>
    <w:rsid w:val="000C4F52"/>
    <w:rsid w:val="000D2EF2"/>
    <w:rsid w:val="000E1999"/>
    <w:rsid w:val="000E37A6"/>
    <w:rsid w:val="000F0AB5"/>
    <w:rsid w:val="001025B7"/>
    <w:rsid w:val="00114F4C"/>
    <w:rsid w:val="00114F95"/>
    <w:rsid w:val="001153DD"/>
    <w:rsid w:val="00117355"/>
    <w:rsid w:val="00123528"/>
    <w:rsid w:val="00124E4A"/>
    <w:rsid w:val="001501C2"/>
    <w:rsid w:val="001563D7"/>
    <w:rsid w:val="00161714"/>
    <w:rsid w:val="001930C3"/>
    <w:rsid w:val="001974B1"/>
    <w:rsid w:val="001A243A"/>
    <w:rsid w:val="001B3BC3"/>
    <w:rsid w:val="001E0601"/>
    <w:rsid w:val="00210771"/>
    <w:rsid w:val="00243892"/>
    <w:rsid w:val="0025067D"/>
    <w:rsid w:val="002507BD"/>
    <w:rsid w:val="0028195E"/>
    <w:rsid w:val="002833C6"/>
    <w:rsid w:val="00292BD1"/>
    <w:rsid w:val="002A497B"/>
    <w:rsid w:val="002A5CE5"/>
    <w:rsid w:val="002A5FD4"/>
    <w:rsid w:val="002B621E"/>
    <w:rsid w:val="002D596E"/>
    <w:rsid w:val="002D72F3"/>
    <w:rsid w:val="002F5830"/>
    <w:rsid w:val="002F62AE"/>
    <w:rsid w:val="0030582D"/>
    <w:rsid w:val="00307604"/>
    <w:rsid w:val="00312BBB"/>
    <w:rsid w:val="003370AC"/>
    <w:rsid w:val="00343C31"/>
    <w:rsid w:val="00354EAB"/>
    <w:rsid w:val="003619FA"/>
    <w:rsid w:val="0036643D"/>
    <w:rsid w:val="0037118F"/>
    <w:rsid w:val="00374ACE"/>
    <w:rsid w:val="003753C3"/>
    <w:rsid w:val="003802E4"/>
    <w:rsid w:val="00396290"/>
    <w:rsid w:val="00396EC3"/>
    <w:rsid w:val="003B7B2A"/>
    <w:rsid w:val="003C0CBA"/>
    <w:rsid w:val="003D115A"/>
    <w:rsid w:val="003D1583"/>
    <w:rsid w:val="003E4909"/>
    <w:rsid w:val="003F78DD"/>
    <w:rsid w:val="00410A21"/>
    <w:rsid w:val="004217A4"/>
    <w:rsid w:val="0043485D"/>
    <w:rsid w:val="0045727A"/>
    <w:rsid w:val="00461734"/>
    <w:rsid w:val="00461EDE"/>
    <w:rsid w:val="00463656"/>
    <w:rsid w:val="00477EC2"/>
    <w:rsid w:val="00480E90"/>
    <w:rsid w:val="00497904"/>
    <w:rsid w:val="004A30E9"/>
    <w:rsid w:val="004E5CA9"/>
    <w:rsid w:val="004F3122"/>
    <w:rsid w:val="00505496"/>
    <w:rsid w:val="0051168F"/>
    <w:rsid w:val="005203BF"/>
    <w:rsid w:val="00526B34"/>
    <w:rsid w:val="00530649"/>
    <w:rsid w:val="005419C2"/>
    <w:rsid w:val="00546230"/>
    <w:rsid w:val="0054743E"/>
    <w:rsid w:val="00555F66"/>
    <w:rsid w:val="005569FD"/>
    <w:rsid w:val="00570497"/>
    <w:rsid w:val="00582B94"/>
    <w:rsid w:val="005907EE"/>
    <w:rsid w:val="00594FB2"/>
    <w:rsid w:val="005A2E96"/>
    <w:rsid w:val="005B4154"/>
    <w:rsid w:val="005C2218"/>
    <w:rsid w:val="005D28E2"/>
    <w:rsid w:val="005D7D96"/>
    <w:rsid w:val="005F6C14"/>
    <w:rsid w:val="006028CD"/>
    <w:rsid w:val="00615349"/>
    <w:rsid w:val="00620055"/>
    <w:rsid w:val="00662548"/>
    <w:rsid w:val="00696EFA"/>
    <w:rsid w:val="006A408E"/>
    <w:rsid w:val="006A4E4E"/>
    <w:rsid w:val="006B33F0"/>
    <w:rsid w:val="006D20B5"/>
    <w:rsid w:val="006D6267"/>
    <w:rsid w:val="006E70C3"/>
    <w:rsid w:val="006F4D18"/>
    <w:rsid w:val="006F78D0"/>
    <w:rsid w:val="006F7DA5"/>
    <w:rsid w:val="00702334"/>
    <w:rsid w:val="007062B8"/>
    <w:rsid w:val="007169F3"/>
    <w:rsid w:val="00721170"/>
    <w:rsid w:val="0073611B"/>
    <w:rsid w:val="007507DC"/>
    <w:rsid w:val="00751E7A"/>
    <w:rsid w:val="007538F3"/>
    <w:rsid w:val="00782208"/>
    <w:rsid w:val="007835A6"/>
    <w:rsid w:val="00786EB4"/>
    <w:rsid w:val="007B0879"/>
    <w:rsid w:val="007B1C2D"/>
    <w:rsid w:val="007C635F"/>
    <w:rsid w:val="007D596E"/>
    <w:rsid w:val="007D65CD"/>
    <w:rsid w:val="007D7F94"/>
    <w:rsid w:val="007E30E6"/>
    <w:rsid w:val="007F26A9"/>
    <w:rsid w:val="007F56F9"/>
    <w:rsid w:val="007F5C85"/>
    <w:rsid w:val="00820FC8"/>
    <w:rsid w:val="00833247"/>
    <w:rsid w:val="0084118D"/>
    <w:rsid w:val="0085266A"/>
    <w:rsid w:val="008574E7"/>
    <w:rsid w:val="00875030"/>
    <w:rsid w:val="00890076"/>
    <w:rsid w:val="008978B6"/>
    <w:rsid w:val="008A6E86"/>
    <w:rsid w:val="008B420C"/>
    <w:rsid w:val="008C0329"/>
    <w:rsid w:val="008D61D4"/>
    <w:rsid w:val="008E1EFB"/>
    <w:rsid w:val="008F1738"/>
    <w:rsid w:val="00905D83"/>
    <w:rsid w:val="00906294"/>
    <w:rsid w:val="00917958"/>
    <w:rsid w:val="0093778F"/>
    <w:rsid w:val="00946BB0"/>
    <w:rsid w:val="0095471E"/>
    <w:rsid w:val="009617C9"/>
    <w:rsid w:val="009B774E"/>
    <w:rsid w:val="009C0182"/>
    <w:rsid w:val="009C4051"/>
    <w:rsid w:val="009D0159"/>
    <w:rsid w:val="009D6CD6"/>
    <w:rsid w:val="009E6F28"/>
    <w:rsid w:val="009F413A"/>
    <w:rsid w:val="009F49B6"/>
    <w:rsid w:val="009F54C2"/>
    <w:rsid w:val="00A00466"/>
    <w:rsid w:val="00A37764"/>
    <w:rsid w:val="00A565C2"/>
    <w:rsid w:val="00A57E0D"/>
    <w:rsid w:val="00A636FC"/>
    <w:rsid w:val="00A67744"/>
    <w:rsid w:val="00A929EB"/>
    <w:rsid w:val="00AA022D"/>
    <w:rsid w:val="00AB00CB"/>
    <w:rsid w:val="00AC1EF2"/>
    <w:rsid w:val="00AC62A4"/>
    <w:rsid w:val="00AD4CF6"/>
    <w:rsid w:val="00AF1B3C"/>
    <w:rsid w:val="00AF212C"/>
    <w:rsid w:val="00B022E3"/>
    <w:rsid w:val="00B07199"/>
    <w:rsid w:val="00B12EB0"/>
    <w:rsid w:val="00B25AB4"/>
    <w:rsid w:val="00B5159B"/>
    <w:rsid w:val="00B759B7"/>
    <w:rsid w:val="00B75A99"/>
    <w:rsid w:val="00B772F5"/>
    <w:rsid w:val="00B8156E"/>
    <w:rsid w:val="00B835A6"/>
    <w:rsid w:val="00B83AB7"/>
    <w:rsid w:val="00B958B4"/>
    <w:rsid w:val="00BA1181"/>
    <w:rsid w:val="00BA4747"/>
    <w:rsid w:val="00BC242E"/>
    <w:rsid w:val="00BC349A"/>
    <w:rsid w:val="00BD0775"/>
    <w:rsid w:val="00BE083D"/>
    <w:rsid w:val="00BE60B9"/>
    <w:rsid w:val="00BE6E7F"/>
    <w:rsid w:val="00BF2689"/>
    <w:rsid w:val="00BF2AFD"/>
    <w:rsid w:val="00C01D51"/>
    <w:rsid w:val="00C1130C"/>
    <w:rsid w:val="00C11CA5"/>
    <w:rsid w:val="00C16AC9"/>
    <w:rsid w:val="00C22F1A"/>
    <w:rsid w:val="00C375C2"/>
    <w:rsid w:val="00C4428C"/>
    <w:rsid w:val="00C56F52"/>
    <w:rsid w:val="00C616A0"/>
    <w:rsid w:val="00C6414C"/>
    <w:rsid w:val="00C71303"/>
    <w:rsid w:val="00C94315"/>
    <w:rsid w:val="00CB1A06"/>
    <w:rsid w:val="00CB7977"/>
    <w:rsid w:val="00CC3211"/>
    <w:rsid w:val="00CE13ED"/>
    <w:rsid w:val="00CE2799"/>
    <w:rsid w:val="00D059BF"/>
    <w:rsid w:val="00D07166"/>
    <w:rsid w:val="00D14B7B"/>
    <w:rsid w:val="00D3464F"/>
    <w:rsid w:val="00D468FF"/>
    <w:rsid w:val="00D651CB"/>
    <w:rsid w:val="00D7367D"/>
    <w:rsid w:val="00D737DD"/>
    <w:rsid w:val="00D81E0B"/>
    <w:rsid w:val="00D94A24"/>
    <w:rsid w:val="00D96D73"/>
    <w:rsid w:val="00D97941"/>
    <w:rsid w:val="00DA1DA0"/>
    <w:rsid w:val="00DB1CA0"/>
    <w:rsid w:val="00DB7367"/>
    <w:rsid w:val="00DC74EA"/>
    <w:rsid w:val="00DE013E"/>
    <w:rsid w:val="00DE6DFC"/>
    <w:rsid w:val="00DF2A9F"/>
    <w:rsid w:val="00E105D0"/>
    <w:rsid w:val="00E23651"/>
    <w:rsid w:val="00E473A9"/>
    <w:rsid w:val="00E63013"/>
    <w:rsid w:val="00E979CC"/>
    <w:rsid w:val="00EC0573"/>
    <w:rsid w:val="00EC5B83"/>
    <w:rsid w:val="00EC7225"/>
    <w:rsid w:val="00EF4990"/>
    <w:rsid w:val="00F17E21"/>
    <w:rsid w:val="00F27B82"/>
    <w:rsid w:val="00F27CFB"/>
    <w:rsid w:val="00F33E03"/>
    <w:rsid w:val="00F34413"/>
    <w:rsid w:val="00F4201C"/>
    <w:rsid w:val="00F46C1D"/>
    <w:rsid w:val="00F6467E"/>
    <w:rsid w:val="00F75121"/>
    <w:rsid w:val="00FB2B11"/>
    <w:rsid w:val="00FC0587"/>
    <w:rsid w:val="00FC3B4A"/>
    <w:rsid w:val="00FD1DFA"/>
    <w:rsid w:val="00FD4565"/>
    <w:rsid w:val="00FD5722"/>
    <w:rsid w:val="00FE1FAA"/>
    <w:rsid w:val="00FE659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C2A9C"/>
  <w15:chartTrackingRefBased/>
  <w15:docId w15:val="{0409F972-5279-4785-8D37-1438B4B6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80E9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a4">
    <w:name w:val="[Основной абзац]"/>
    <w:basedOn w:val="a3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</w:style>
  <w:style w:type="paragraph" w:customStyle="1" w:styleId="a7">
    <w:name w:val="Организация (Общие:Базовые)"/>
    <w:basedOn w:val="a3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</w:style>
  <w:style w:type="paragraph" w:customStyle="1" w:styleId="a9">
    <w:name w:val="Тип акта (Общие:Базовые)"/>
    <w:basedOn w:val="a3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</w:style>
  <w:style w:type="paragraph" w:customStyle="1" w:styleId="n7777">
    <w:name w:val="n7777 Название акта (Общие:Базовые)"/>
    <w:basedOn w:val="a3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</w:style>
  <w:style w:type="paragraph" w:customStyle="1" w:styleId="n7777Ch2">
    <w:name w:val="n7777 Название акта (Ch_2 Президент)"/>
    <w:basedOn w:val="n7777Ch1"/>
    <w:next w:val="Ch2"/>
  </w:style>
  <w:style w:type="paragraph" w:customStyle="1" w:styleId="n7777Ch3">
    <w:name w:val="n7777 Название акта (Ch_3 Кабмін)"/>
    <w:basedOn w:val="n7777Ch2"/>
    <w:next w:val="Ch3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</w:style>
  <w:style w:type="paragraph" w:customStyle="1" w:styleId="n7777Ch5">
    <w:name w:val="n7777 Название акта (Ch_5 Нацбанк)"/>
    <w:basedOn w:val="n7777Ch4"/>
    <w:next w:val="Ch5"/>
  </w:style>
  <w:style w:type="paragraph" w:customStyle="1" w:styleId="n7777Ch6">
    <w:name w:val="n7777 Название акта (Ch_6 Міністерства)"/>
    <w:basedOn w:val="n7777Ch5"/>
    <w:next w:val="Ch63"/>
    <w:pPr>
      <w:spacing w:before="57"/>
    </w:pPr>
  </w:style>
  <w:style w:type="paragraph" w:customStyle="1" w:styleId="ad">
    <w:name w:val="Основной текст (Общие:Базовые)"/>
    <w:basedOn w:val="a3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pPr>
      <w:spacing w:after="113"/>
    </w:pPr>
  </w:style>
  <w:style w:type="paragraph" w:customStyle="1" w:styleId="Ch63">
    <w:name w:val="Преамбула (Ch_6 Міністерства)"/>
    <w:basedOn w:val="af0"/>
    <w:next w:val="a3"/>
    <w:pPr>
      <w:spacing w:before="113" w:after="85"/>
      <w:ind w:firstLine="0"/>
    </w:pPr>
  </w:style>
  <w:style w:type="paragraph" w:customStyle="1" w:styleId="af1">
    <w:name w:val="Основной текст (отбивка) (Общие)"/>
    <w:basedOn w:val="ae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pPr>
      <w:spacing w:before="283"/>
    </w:pPr>
  </w:style>
  <w:style w:type="paragraph" w:customStyle="1" w:styleId="af8">
    <w:name w:val="Простой подзаголовок (Общие:Базовые)"/>
    <w:basedOn w:val="a3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8">
    <w:name w:val="Простой подзаголовок (Ch_6 Міністерства)"/>
    <w:basedOn w:val="af9"/>
  </w:style>
  <w:style w:type="paragraph" w:customStyle="1" w:styleId="afa">
    <w:name w:val="Додаток № (Общие)"/>
    <w:basedOn w:val="af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pPr>
      <w:keepNext/>
    </w:pPr>
  </w:style>
  <w:style w:type="paragraph" w:customStyle="1" w:styleId="StrokeCh6">
    <w:name w:val="Stroke (Ch_6 Міністерства)"/>
    <w:basedOn w:val="a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LineBase">
    <w:name w:val="Line_Base"/>
    <w:basedOn w:val="a4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Ch6a">
    <w:name w:val="Основной текст (без абзаца) (Ch_6 Міністерства)"/>
    <w:basedOn w:val="Ch64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afb">
    <w:name w:val="Стаття по центру (Общие:Базовые)"/>
    <w:basedOn w:val="a4"/>
    <w:next w:val="Ch10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b">
    <w:name w:val="Стаття по центру (Ch_6 Міністерства)"/>
    <w:basedOn w:val="afb"/>
    <w:next w:val="Ch10"/>
    <w:pPr>
      <w:keepNext/>
    </w:pPr>
  </w:style>
  <w:style w:type="paragraph" w:customStyle="1" w:styleId="PrimitkiPRIMITKA">
    <w:name w:val="Primitki (PRIMITKA)"/>
    <w:basedOn w:val="a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pPr>
      <w:spacing w:before="142" w:after="142"/>
      <w:ind w:left="850" w:hanging="850"/>
    </w:pPr>
  </w:style>
  <w:style w:type="paragraph" w:customStyle="1" w:styleId="Ch6c">
    <w:name w:val="Додаток №_горизонт (Ch_6 Міністерства)"/>
    <w:basedOn w:val="afa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SnoskaSNOSKI0">
    <w:name w:val="Snoska*горизонт (SNOSKI)"/>
    <w:basedOn w:val="LineBase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Ch6d">
    <w:name w:val="Осн.+номер (Ch_6 Міністерства)"/>
    <w:basedOn w:val="ae"/>
  </w:style>
  <w:style w:type="paragraph" w:customStyle="1" w:styleId="Ch6e">
    <w:name w:val="Курсив до тирэ (Ch_6 Міністерства)"/>
    <w:basedOn w:val="ae"/>
  </w:style>
  <w:style w:type="paragraph" w:customStyle="1" w:styleId="Ch6f">
    <w:name w:val="Простой подзаг (п/ж) курсив (Ch_6 Міністерства)"/>
    <w:basedOn w:val="Ch68"/>
    <w:rPr>
      <w:i/>
      <w:iCs/>
    </w:rPr>
  </w:style>
  <w:style w:type="paragraph" w:customStyle="1" w:styleId="Ch6f0">
    <w:name w:val="подпись к рисунку (Ch_6 Міністерства)"/>
    <w:basedOn w:val="Ch6a"/>
    <w:pPr>
      <w:jc w:val="center"/>
    </w:pPr>
    <w:rPr>
      <w:sz w:val="16"/>
      <w:szCs w:val="16"/>
    </w:rPr>
  </w:style>
  <w:style w:type="paragraph" w:customStyle="1" w:styleId="Ch6f1">
    <w:name w:val="Форма (Ch_6 Міністерства)"/>
    <w:basedOn w:val="Ch69"/>
    <w:pPr>
      <w:spacing w:before="227"/>
      <w:ind w:left="4819"/>
      <w:jc w:val="right"/>
    </w:pPr>
    <w:rPr>
      <w:rFonts w:ascii="Pragmatica Bold" w:hAnsi="Pragmatica Bold" w:cs="Pragmatica Bold"/>
      <w:b/>
      <w:bCs/>
    </w:rPr>
  </w:style>
  <w:style w:type="paragraph" w:customStyle="1" w:styleId="TableshapkaTABL">
    <w:name w:val="Table_shapka (TABL)"/>
    <w:basedOn w:val="a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10">
    <w:name w:val="Абзац списка1"/>
    <w:basedOn w:val="a"/>
    <w:pPr>
      <w:ind w:left="720"/>
    </w:pPr>
  </w:style>
  <w:style w:type="paragraph" w:customStyle="1" w:styleId="Ch1">
    <w:name w:val="Преамбула (Ch_1 Верховна Рада)"/>
    <w:basedOn w:val="af0"/>
    <w:next w:val="Ch11"/>
  </w:style>
  <w:style w:type="paragraph" w:customStyle="1" w:styleId="Ch2">
    <w:name w:val="Преамбула (Ch_2 Президент)"/>
    <w:basedOn w:val="af0"/>
    <w:next w:val="a3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</w:style>
  <w:style w:type="paragraph" w:customStyle="1" w:styleId="Ch4">
    <w:name w:val="Преамбула (Ch_4 Конституційний Суд)"/>
    <w:basedOn w:val="af0"/>
    <w:next w:val="a3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</w:style>
  <w:style w:type="paragraph" w:customStyle="1" w:styleId="afc">
    <w:name w:val="подпись: место"/>
    <w:aliases w:val="дата,№ (Общие:Базовые)"/>
    <w:basedOn w:val="a4"/>
  </w:style>
  <w:style w:type="paragraph" w:customStyle="1" w:styleId="2">
    <w:name w:val="подпись: место2"/>
    <w:aliases w:val="дата2,№ (Общие)"/>
    <w:basedOn w:val="afc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</w:style>
  <w:style w:type="paragraph" w:customStyle="1" w:styleId="Ch10">
    <w:name w:val="Основной текст (Ch_1 Верховна Рада)"/>
    <w:basedOn w:val="ae"/>
    <w:pPr>
      <w:tabs>
        <w:tab w:val="clear" w:pos="11514"/>
      </w:tabs>
    </w:pPr>
  </w:style>
  <w:style w:type="paragraph" w:customStyle="1" w:styleId="afd">
    <w:name w:val="Раздел (Общие:Базовые)"/>
    <w:basedOn w:val="a3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1">
    <w:name w:val="Раздел (Ch_1 Верховна Рада)"/>
    <w:basedOn w:val="afd"/>
    <w:next w:val="Ch12"/>
  </w:style>
  <w:style w:type="paragraph" w:customStyle="1" w:styleId="afe">
    <w:name w:val="Глава (Общие:Базовые)"/>
    <w:basedOn w:val="a3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pPr>
      <w:keepLines/>
      <w:spacing w:before="170"/>
      <w:jc w:val="center"/>
    </w:pPr>
    <w:rPr>
      <w:i/>
      <w:iCs/>
    </w:rPr>
  </w:style>
  <w:style w:type="paragraph" w:customStyle="1" w:styleId="Ch12">
    <w:name w:val="Глава (Ch_1 Верховна Рада)"/>
    <w:basedOn w:val="aff"/>
    <w:next w:val="Ch13"/>
  </w:style>
  <w:style w:type="paragraph" w:customStyle="1" w:styleId="aff0">
    <w:name w:val="Стаття (Общие:Базовые)"/>
    <w:basedOn w:val="a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1">
    <w:name w:val="Стаття (Общие)"/>
    <w:basedOn w:val="aff0"/>
    <w:pPr>
      <w:tabs>
        <w:tab w:val="clear" w:pos="7483"/>
      </w:tabs>
    </w:pPr>
  </w:style>
  <w:style w:type="paragraph" w:customStyle="1" w:styleId="Ch13">
    <w:name w:val="Стаття (Ch_1 Верховна Рада)"/>
    <w:basedOn w:val="aff1"/>
    <w:next w:val="Ch10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Word1WordRTF">
    <w:name w:val="Импортированный список стилей из Word1 (Стили для импортированных списков Word/RTF)"/>
    <w:rPr>
      <w:w w:val="100"/>
    </w:rPr>
  </w:style>
  <w:style w:type="character" w:customStyle="1" w:styleId="Bold">
    <w:name w:val="Bold"/>
    <w:rPr>
      <w:b/>
      <w:u w:val="none"/>
      <w:vertAlign w:val="baseline"/>
    </w:rPr>
  </w:style>
  <w:style w:type="character" w:customStyle="1" w:styleId="st42">
    <w:name w:val="st42"/>
    <w:rPr>
      <w:color w:val="000000"/>
      <w:w w:val="100"/>
    </w:rPr>
  </w:style>
  <w:style w:type="character" w:customStyle="1" w:styleId="rvts82">
    <w:name w:val="rvts82"/>
    <w:rPr>
      <w:color w:val="000000"/>
      <w:w w:val="100"/>
    </w:rPr>
  </w:style>
  <w:style w:type="character" w:styleId="aff2">
    <w:name w:val="footnote reference"/>
    <w:rPr>
      <w:rFonts w:cs="Times New Roman"/>
      <w:color w:val="000000"/>
      <w:w w:val="100"/>
      <w:vertAlign w:val="superscript"/>
    </w:rPr>
  </w:style>
  <w:style w:type="character" w:customStyle="1" w:styleId="rvts44">
    <w:name w:val="rvts44"/>
    <w:rPr>
      <w:color w:val="000000"/>
      <w:w w:val="100"/>
    </w:rPr>
  </w:style>
  <w:style w:type="character" w:customStyle="1" w:styleId="bold0">
    <w:name w:val="bold"/>
    <w:rPr>
      <w:b/>
    </w:rPr>
  </w:style>
  <w:style w:type="character" w:customStyle="1" w:styleId="500">
    <w:name w:val="500"/>
  </w:style>
  <w:style w:type="character" w:customStyle="1" w:styleId="Postanovla">
    <w:name w:val="Postanovla"/>
  </w:style>
  <w:style w:type="character" w:customStyle="1" w:styleId="superscript">
    <w:name w:val="superscript"/>
    <w:rPr>
      <w:w w:val="90"/>
      <w:vertAlign w:val="superscript"/>
    </w:rPr>
  </w:style>
  <w:style w:type="character" w:customStyle="1" w:styleId="55">
    <w:name w:val="Зажато55 (Вспомогательные)"/>
  </w:style>
  <w:style w:type="character" w:customStyle="1" w:styleId="aff3">
    <w:name w:val="Градус (Вспомогательные)"/>
    <w:rPr>
      <w:rFonts w:ascii="HeliosCond" w:hAnsi="HeliosCond"/>
    </w:rPr>
  </w:style>
  <w:style w:type="character" w:customStyle="1" w:styleId="aff4">
    <w:name w:val="звездочка"/>
    <w:rPr>
      <w:w w:val="100"/>
      <w:position w:val="0"/>
      <w:sz w:val="18"/>
    </w:rPr>
  </w:style>
  <w:style w:type="character" w:customStyle="1" w:styleId="20">
    <w:name w:val="Снять Зажато20 (Вспомогательные)"/>
  </w:style>
  <w:style w:type="character" w:customStyle="1" w:styleId="11">
    <w:name w:val="Стиль символа 1 (Вспомогательные)"/>
    <w:rPr>
      <w:rFonts w:ascii="Symbol (OTF) Regular" w:hAnsi="Symbol (OTF) Regular"/>
    </w:rPr>
  </w:style>
  <w:style w:type="character" w:customStyle="1" w:styleId="Bold1">
    <w:name w:val="Bold (Вспомогательные)"/>
    <w:rPr>
      <w:b/>
    </w:rPr>
  </w:style>
  <w:style w:type="character" w:customStyle="1" w:styleId="200">
    <w:name w:val="В р а з р я д к у 200 (Вспомогательные)"/>
  </w:style>
  <w:style w:type="character" w:customStyle="1" w:styleId="aff5">
    <w:name w:val="Широкий пробел (Вспомогательные)"/>
  </w:style>
  <w:style w:type="character" w:customStyle="1" w:styleId="aff6">
    <w:name w:val="Обычный пробел (Вспомогательные)"/>
  </w:style>
  <w:style w:type="character" w:customStyle="1" w:styleId="14pt">
    <w:name w:val="Отбивка 14pt (Вспомогательные)"/>
  </w:style>
  <w:style w:type="character" w:customStyle="1" w:styleId="UPPER">
    <w:name w:val="UPPER (Вспомогательные)"/>
    <w:rPr>
      <w:caps/>
    </w:rPr>
  </w:style>
  <w:style w:type="character" w:customStyle="1" w:styleId="Regular">
    <w:name w:val="Regular (Вспомогательные)"/>
  </w:style>
  <w:style w:type="character" w:customStyle="1" w:styleId="aff7">
    <w:name w:val="звездочка в сноске"/>
    <w:rPr>
      <w:w w:val="100"/>
      <w:position w:val="0"/>
      <w:sz w:val="18"/>
    </w:rPr>
  </w:style>
  <w:style w:type="character" w:customStyle="1" w:styleId="PragmaticaB">
    <w:name w:val="PragmaticaB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rPr>
      <w:i/>
    </w:rPr>
  </w:style>
  <w:style w:type="character" w:customStyle="1" w:styleId="superscriptsnoska">
    <w:name w:val="superscript_snoska"/>
    <w:rPr>
      <w:w w:val="90"/>
      <w:position w:val="2"/>
      <w:vertAlign w:val="superscript"/>
    </w:rPr>
  </w:style>
  <w:style w:type="character" w:customStyle="1" w:styleId="base">
    <w:name w:val="base"/>
    <w:rPr>
      <w:rFonts w:ascii="Pragmatica Book" w:hAnsi="Pragmatica Book"/>
      <w:spacing w:val="2"/>
      <w:sz w:val="18"/>
      <w:vertAlign w:val="baseline"/>
    </w:rPr>
  </w:style>
  <w:style w:type="character" w:customStyle="1" w:styleId="aff8">
    <w:name w:val="ЗажатоПЖ (Вспомогательные)"/>
    <w:rPr>
      <w:w w:val="120"/>
    </w:rPr>
  </w:style>
  <w:style w:type="character" w:customStyle="1" w:styleId="CAPS">
    <w:name w:val="CAPS"/>
    <w:rPr>
      <w:caps/>
    </w:rPr>
  </w:style>
  <w:style w:type="character" w:customStyle="1" w:styleId="XXXX">
    <w:name w:val="XXXX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9">
    <w:name w:val="List Paragraph"/>
    <w:basedOn w:val="a"/>
    <w:uiPriority w:val="34"/>
    <w:qFormat/>
    <w:rsid w:val="0054743E"/>
    <w:pPr>
      <w:widowControl/>
      <w:suppressAutoHyphens w:val="0"/>
      <w:autoSpaceDE/>
      <w:autoSpaceDN/>
      <w:adjustRightInd/>
      <w:spacing w:line="276" w:lineRule="auto"/>
      <w:ind w:left="720"/>
      <w:contextualSpacing/>
      <w:textAlignment w:val="auto"/>
    </w:pPr>
    <w:rPr>
      <w:rFonts w:eastAsia="Calibri" w:cs="Arial"/>
      <w:lang w:eastAsia="en-US"/>
    </w:rPr>
  </w:style>
  <w:style w:type="character" w:styleId="affa">
    <w:name w:val="Strong"/>
    <w:uiPriority w:val="22"/>
    <w:qFormat/>
    <w:locked/>
    <w:rsid w:val="00D94A24"/>
    <w:rPr>
      <w:b/>
      <w:bCs/>
    </w:rPr>
  </w:style>
  <w:style w:type="paragraph" w:styleId="affb">
    <w:name w:val="header"/>
    <w:basedOn w:val="a"/>
    <w:link w:val="affc"/>
    <w:uiPriority w:val="99"/>
    <w:locked/>
    <w:rsid w:val="008F17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fc">
    <w:name w:val="Верхний колонтитул Знак"/>
    <w:basedOn w:val="a0"/>
    <w:link w:val="affb"/>
    <w:uiPriority w:val="99"/>
    <w:rsid w:val="008F1738"/>
    <w:rPr>
      <w:rFonts w:eastAsia="Times New Roman" w:cs="Calibri"/>
      <w:color w:val="000000"/>
      <w:sz w:val="22"/>
      <w:szCs w:val="22"/>
      <w:lang w:val="uk-UA" w:eastAsia="uk-UA"/>
    </w:rPr>
  </w:style>
  <w:style w:type="paragraph" w:styleId="affd">
    <w:name w:val="footer"/>
    <w:basedOn w:val="a"/>
    <w:link w:val="affe"/>
    <w:uiPriority w:val="99"/>
    <w:locked/>
    <w:rsid w:val="008F17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fe">
    <w:name w:val="Нижний колонтитул Знак"/>
    <w:basedOn w:val="a0"/>
    <w:link w:val="affd"/>
    <w:uiPriority w:val="99"/>
    <w:rsid w:val="008F1738"/>
    <w:rPr>
      <w:rFonts w:eastAsia="Times New Roman" w:cs="Calibri"/>
      <w:color w:val="000000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A5AD-32DB-4863-AF1B-34A6CF3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32627</Words>
  <Characters>18598</Characters>
  <Application>Microsoft Office Word</Application>
  <DocSecurity>0</DocSecurity>
  <Lines>154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ЩИРОВА Наталія Сергіївна</dc:creator>
  <cp:keywords/>
  <dc:description/>
  <cp:lastModifiedBy>Viktoriya O.</cp:lastModifiedBy>
  <cp:revision>2</cp:revision>
  <dcterms:created xsi:type="dcterms:W3CDTF">2022-10-18T16:52:00Z</dcterms:created>
  <dcterms:modified xsi:type="dcterms:W3CDTF">2022-10-18T16:52:00Z</dcterms:modified>
</cp:coreProperties>
</file>