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5A1DF" w14:textId="52AB1B7A" w:rsidR="00A237B5" w:rsidRDefault="00D82420" w:rsidP="00A237B5">
      <w:pPr>
        <w:pStyle w:val="a6"/>
        <w:ind w:right="1502"/>
        <w:jc w:val="center"/>
        <w:rPr>
          <w:rFonts w:ascii="Times New Roman" w:hAnsi="Times New Roman" w:cs="Times New Roman"/>
        </w:rPr>
      </w:pPr>
      <w:r w:rsidRPr="00D82420">
        <w:rPr>
          <w:rFonts w:ascii="Times New Roman" w:hAnsi="Times New Roman" w:cs="Times New Roman"/>
          <w:noProof/>
        </w:rPr>
        <w:drawing>
          <wp:inline distT="0" distB="0" distL="0" distR="0" wp14:anchorId="0949ECAB" wp14:editId="79AA15E6">
            <wp:extent cx="6015990" cy="7673975"/>
            <wp:effectExtent l="0" t="0" r="381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990" cy="7673975"/>
                    </a:xfrm>
                    <a:prstGeom prst="rect">
                      <a:avLst/>
                    </a:prstGeom>
                  </pic:spPr>
                </pic:pic>
              </a:graphicData>
            </a:graphic>
          </wp:inline>
        </w:drawing>
      </w:r>
    </w:p>
    <w:p w14:paraId="575D9E7A" w14:textId="1C9E92C7" w:rsidR="00911F8D" w:rsidRDefault="00911F8D" w:rsidP="00911F8D">
      <w:pPr>
        <w:pStyle w:val="a6"/>
        <w:ind w:left="2041" w:right="1502"/>
        <w:jc w:val="center"/>
        <w:rPr>
          <w:rFonts w:ascii="Times New Roman" w:hAnsi="Times New Roman" w:cs="Times New Roman"/>
          <w:b w:val="0"/>
          <w:bCs w:val="0"/>
        </w:rPr>
      </w:pP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12E2432F" w:rsidR="00CF5A7F" w:rsidRPr="00877CD8" w:rsidRDefault="00B10B40" w:rsidP="001D26A9">
            <w:pPr>
              <w:pStyle w:val="TableParagraph"/>
              <w:ind w:right="565"/>
              <w:jc w:val="both"/>
              <w:rPr>
                <w:sz w:val="24"/>
                <w:szCs w:val="24"/>
                <w:lang w:val="ru-RU"/>
              </w:rPr>
            </w:pPr>
            <w:r>
              <w:rPr>
                <w:sz w:val="24"/>
                <w:szCs w:val="24"/>
                <w:lang w:val="ru-RU"/>
              </w:rPr>
              <w:t xml:space="preserve">Директор </w:t>
            </w:r>
            <w:r w:rsidR="008B07EB">
              <w:rPr>
                <w:sz w:val="24"/>
                <w:szCs w:val="24"/>
                <w:lang w:val="ru-RU"/>
              </w:rPr>
              <w:t>Селик Віталій</w:t>
            </w:r>
            <w:r w:rsidR="00CF5A7F" w:rsidRPr="00877CD8">
              <w:rPr>
                <w:sz w:val="24"/>
                <w:szCs w:val="24"/>
                <w:lang w:val="ru-RU"/>
              </w:rPr>
              <w:t>, ел</w:t>
            </w:r>
            <w:bookmarkStart w:id="0" w:name="_GoBack"/>
            <w:bookmarkEnd w:id="0"/>
            <w:r w:rsidR="00CF5A7F" w:rsidRPr="00877CD8">
              <w:rPr>
                <w:sz w:val="24"/>
                <w:szCs w:val="24"/>
                <w:lang w:val="ru-RU"/>
              </w:rPr>
              <w:t xml:space="preserve">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3D937A16" w:rsidR="00CF5A7F" w:rsidRPr="00B10B40" w:rsidRDefault="00CF5A7F" w:rsidP="001D26A9">
            <w:pPr>
              <w:pStyle w:val="TableParagraph"/>
              <w:jc w:val="both"/>
              <w:rPr>
                <w:sz w:val="24"/>
                <w:szCs w:val="24"/>
                <w:lang w:val="uk-UA"/>
              </w:rPr>
            </w:pPr>
            <w:r w:rsidRPr="00D82450">
              <w:rPr>
                <w:sz w:val="24"/>
                <w:szCs w:val="24"/>
              </w:rPr>
              <w:t>«</w:t>
            </w:r>
            <w:r w:rsidR="00F03485" w:rsidRPr="00F03485">
              <w:rPr>
                <w:sz w:val="24"/>
                <w:szCs w:val="24"/>
                <w:lang w:val="ru-RU"/>
              </w:rPr>
              <w:t>Послуги</w:t>
            </w:r>
            <w:r w:rsidR="00F03485" w:rsidRPr="002553B0">
              <w:rPr>
                <w:sz w:val="24"/>
                <w:szCs w:val="24"/>
              </w:rPr>
              <w:t xml:space="preserve"> </w:t>
            </w:r>
            <w:r w:rsidR="00F03485" w:rsidRPr="00F03485">
              <w:rPr>
                <w:sz w:val="24"/>
                <w:szCs w:val="24"/>
                <w:lang w:val="ru-RU"/>
              </w:rPr>
              <w:t>координатора</w:t>
            </w:r>
            <w:r w:rsidR="00F03485" w:rsidRPr="002553B0">
              <w:rPr>
                <w:sz w:val="24"/>
                <w:szCs w:val="24"/>
              </w:rPr>
              <w:t xml:space="preserve"> </w:t>
            </w:r>
            <w:r w:rsidR="00F03485" w:rsidRPr="00F03485">
              <w:rPr>
                <w:sz w:val="24"/>
                <w:szCs w:val="24"/>
                <w:lang w:val="ru-RU"/>
              </w:rPr>
              <w:t>з</w:t>
            </w:r>
            <w:r w:rsidR="00F03485" w:rsidRPr="002553B0">
              <w:rPr>
                <w:sz w:val="24"/>
                <w:szCs w:val="24"/>
              </w:rPr>
              <w:t xml:space="preserve"> </w:t>
            </w:r>
            <w:r w:rsidR="00F03485" w:rsidRPr="00F03485">
              <w:rPr>
                <w:sz w:val="24"/>
                <w:szCs w:val="24"/>
                <w:lang w:val="ru-RU"/>
              </w:rPr>
              <w:t>будівництва</w:t>
            </w:r>
            <w:r w:rsidR="00F03485" w:rsidRPr="002553B0">
              <w:rPr>
                <w:sz w:val="24"/>
                <w:szCs w:val="24"/>
              </w:rPr>
              <w:t xml:space="preserve"> </w:t>
            </w:r>
            <w:r w:rsidR="00F03485" w:rsidRPr="00F03485">
              <w:rPr>
                <w:sz w:val="24"/>
                <w:szCs w:val="24"/>
                <w:lang w:val="ru-RU"/>
              </w:rPr>
              <w:t>об</w:t>
            </w:r>
            <w:r w:rsidR="00F03485" w:rsidRPr="002553B0">
              <w:rPr>
                <w:sz w:val="24"/>
                <w:szCs w:val="24"/>
              </w:rPr>
              <w:t>’</w:t>
            </w:r>
            <w:r w:rsidR="00F03485" w:rsidRPr="00F03485">
              <w:rPr>
                <w:sz w:val="24"/>
                <w:szCs w:val="24"/>
                <w:lang w:val="ru-RU"/>
              </w:rPr>
              <w:t>єктів</w:t>
            </w:r>
            <w:r w:rsidR="00F03485" w:rsidRPr="002553B0">
              <w:rPr>
                <w:sz w:val="24"/>
                <w:szCs w:val="24"/>
              </w:rPr>
              <w:t xml:space="preserve"> </w:t>
            </w:r>
            <w:r w:rsidR="00F03485" w:rsidRPr="00F03485">
              <w:rPr>
                <w:sz w:val="24"/>
                <w:szCs w:val="24"/>
                <w:lang w:val="ru-RU"/>
              </w:rPr>
              <w:t>у</w:t>
            </w:r>
            <w:r w:rsidR="00F03485" w:rsidRPr="002553B0">
              <w:rPr>
                <w:sz w:val="24"/>
                <w:szCs w:val="24"/>
              </w:rPr>
              <w:t xml:space="preserve"> </w:t>
            </w:r>
            <w:r w:rsidR="00F03485" w:rsidRPr="00F03485">
              <w:rPr>
                <w:sz w:val="24"/>
                <w:szCs w:val="24"/>
                <w:lang w:val="ru-RU"/>
              </w:rPr>
              <w:t>Харківській</w:t>
            </w:r>
            <w:r w:rsidR="00F03485" w:rsidRPr="002553B0">
              <w:rPr>
                <w:sz w:val="24"/>
                <w:szCs w:val="24"/>
              </w:rPr>
              <w:t xml:space="preserve"> </w:t>
            </w:r>
            <w:r w:rsidR="00F03485" w:rsidRPr="00F03485">
              <w:rPr>
                <w:sz w:val="24"/>
                <w:szCs w:val="24"/>
                <w:lang w:val="ru-RU"/>
              </w:rPr>
              <w:t>області</w:t>
            </w:r>
            <w:r w:rsidR="00F03485" w:rsidRPr="002553B0">
              <w:rPr>
                <w:sz w:val="24"/>
                <w:szCs w:val="24"/>
              </w:rPr>
              <w:t xml:space="preserve"> </w:t>
            </w:r>
            <w:r w:rsidR="00F03485" w:rsidRPr="00F03485">
              <w:rPr>
                <w:sz w:val="24"/>
                <w:szCs w:val="24"/>
                <w:lang w:val="ru-RU"/>
              </w:rPr>
              <w:t>в</w:t>
            </w:r>
            <w:r w:rsidR="00F03485" w:rsidRPr="002553B0">
              <w:rPr>
                <w:sz w:val="24"/>
                <w:szCs w:val="24"/>
              </w:rPr>
              <w:t xml:space="preserve"> </w:t>
            </w:r>
            <w:r w:rsidR="00F03485" w:rsidRPr="00F03485">
              <w:rPr>
                <w:sz w:val="24"/>
                <w:szCs w:val="24"/>
                <w:lang w:val="ru-RU"/>
              </w:rPr>
              <w:t>рамках</w:t>
            </w:r>
            <w:r w:rsidR="00F03485" w:rsidRPr="002553B0">
              <w:rPr>
                <w:sz w:val="24"/>
                <w:szCs w:val="24"/>
              </w:rPr>
              <w:t xml:space="preserve"> </w:t>
            </w:r>
            <w:r w:rsidR="00F03485" w:rsidRPr="00F03485">
              <w:rPr>
                <w:sz w:val="24"/>
                <w:szCs w:val="24"/>
                <w:lang w:val="ru-RU"/>
              </w:rPr>
              <w:t>проєкту</w:t>
            </w:r>
            <w:r w:rsidR="00F03485" w:rsidRPr="002553B0">
              <w:rPr>
                <w:sz w:val="24"/>
                <w:szCs w:val="24"/>
              </w:rPr>
              <w:t xml:space="preserve"> «</w:t>
            </w:r>
            <w:r w:rsidR="00F03485" w:rsidRPr="00F03485">
              <w:rPr>
                <w:sz w:val="24"/>
                <w:szCs w:val="24"/>
                <w:lang w:val="ru-RU"/>
              </w:rPr>
              <w:t>Відновлення</w:t>
            </w:r>
            <w:r w:rsidR="00F03485" w:rsidRPr="002553B0">
              <w:rPr>
                <w:sz w:val="24"/>
                <w:szCs w:val="24"/>
              </w:rPr>
              <w:t xml:space="preserve"> </w:t>
            </w:r>
            <w:r w:rsidR="00F03485" w:rsidRPr="00F03485">
              <w:rPr>
                <w:sz w:val="24"/>
                <w:szCs w:val="24"/>
                <w:lang w:val="ru-RU"/>
              </w:rPr>
              <w:t>об</w:t>
            </w:r>
            <w:r w:rsidR="00F03485" w:rsidRPr="002553B0">
              <w:rPr>
                <w:sz w:val="24"/>
                <w:szCs w:val="24"/>
              </w:rPr>
              <w:t>'</w:t>
            </w:r>
            <w:r w:rsidR="00F03485" w:rsidRPr="00F03485">
              <w:rPr>
                <w:sz w:val="24"/>
                <w:szCs w:val="24"/>
                <w:lang w:val="ru-RU"/>
              </w:rPr>
              <w:t>єктів</w:t>
            </w:r>
            <w:r w:rsidR="00F03485" w:rsidRPr="002553B0">
              <w:rPr>
                <w:sz w:val="24"/>
                <w:szCs w:val="24"/>
              </w:rPr>
              <w:t xml:space="preserve"> </w:t>
            </w:r>
            <w:r w:rsidR="00F03485" w:rsidRPr="00F03485">
              <w:rPr>
                <w:sz w:val="24"/>
                <w:szCs w:val="24"/>
                <w:lang w:val="ru-RU"/>
              </w:rPr>
              <w:t>соціальної</w:t>
            </w:r>
            <w:r w:rsidR="00F03485" w:rsidRPr="002553B0">
              <w:rPr>
                <w:sz w:val="24"/>
                <w:szCs w:val="24"/>
              </w:rPr>
              <w:t xml:space="preserve"> </w:t>
            </w:r>
            <w:r w:rsidR="00F03485" w:rsidRPr="00F03485">
              <w:rPr>
                <w:sz w:val="24"/>
                <w:szCs w:val="24"/>
                <w:lang w:val="ru-RU"/>
              </w:rPr>
              <w:t>інфраструктури</w:t>
            </w:r>
            <w:r w:rsidR="00F03485" w:rsidRPr="002553B0">
              <w:rPr>
                <w:sz w:val="24"/>
                <w:szCs w:val="24"/>
              </w:rPr>
              <w:t xml:space="preserve"> </w:t>
            </w:r>
            <w:r w:rsidR="00F03485" w:rsidRPr="00F03485">
              <w:rPr>
                <w:sz w:val="24"/>
                <w:szCs w:val="24"/>
                <w:lang w:val="ru-RU"/>
              </w:rPr>
              <w:t>в</w:t>
            </w:r>
            <w:r w:rsidR="00F03485" w:rsidRPr="002553B0">
              <w:rPr>
                <w:sz w:val="24"/>
                <w:szCs w:val="24"/>
              </w:rPr>
              <w:t xml:space="preserve"> </w:t>
            </w:r>
            <w:r w:rsidR="00F03485" w:rsidRPr="00F03485">
              <w:rPr>
                <w:sz w:val="24"/>
                <w:szCs w:val="24"/>
                <w:lang w:val="ru-RU"/>
              </w:rPr>
              <w:t>громадах</w:t>
            </w:r>
            <w:r w:rsidR="00F03485" w:rsidRPr="002553B0">
              <w:rPr>
                <w:sz w:val="24"/>
                <w:szCs w:val="24"/>
              </w:rPr>
              <w:t>-</w:t>
            </w:r>
            <w:r w:rsidR="00F03485" w:rsidRPr="00F03485">
              <w:rPr>
                <w:sz w:val="24"/>
                <w:szCs w:val="24"/>
                <w:lang w:val="ru-RU"/>
              </w:rPr>
              <w:t>партнерах</w:t>
            </w:r>
            <w:r w:rsidR="00F03485" w:rsidRPr="002553B0">
              <w:rPr>
                <w:sz w:val="24"/>
                <w:szCs w:val="24"/>
              </w:rPr>
              <w:t xml:space="preserve"> </w:t>
            </w:r>
            <w:r w:rsidR="00F03485" w:rsidRPr="00F03485">
              <w:rPr>
                <w:sz w:val="24"/>
                <w:szCs w:val="24"/>
                <w:lang w:val="ru-RU"/>
              </w:rPr>
              <w:t>у</w:t>
            </w:r>
            <w:r w:rsidR="00F03485" w:rsidRPr="002553B0">
              <w:rPr>
                <w:sz w:val="24"/>
                <w:szCs w:val="24"/>
              </w:rPr>
              <w:t xml:space="preserve"> 3</w:t>
            </w:r>
            <w:r w:rsidR="00F03485" w:rsidRPr="00F03485">
              <w:rPr>
                <w:sz w:val="24"/>
                <w:szCs w:val="24"/>
                <w:lang w:val="ru-RU"/>
              </w:rPr>
              <w:t>х</w:t>
            </w:r>
            <w:r w:rsidR="00F03485" w:rsidRPr="002553B0">
              <w:rPr>
                <w:sz w:val="24"/>
                <w:szCs w:val="24"/>
              </w:rPr>
              <w:t xml:space="preserve"> </w:t>
            </w:r>
            <w:r w:rsidR="00F03485" w:rsidRPr="00F03485">
              <w:rPr>
                <w:sz w:val="24"/>
                <w:szCs w:val="24"/>
                <w:lang w:val="ru-RU"/>
              </w:rPr>
              <w:t>областях</w:t>
            </w:r>
            <w:r w:rsidR="00F03485" w:rsidRPr="002553B0">
              <w:rPr>
                <w:sz w:val="24"/>
                <w:szCs w:val="24"/>
              </w:rPr>
              <w:t xml:space="preserve">», </w:t>
            </w:r>
            <w:r w:rsidR="00F03485" w:rsidRPr="00F03485">
              <w:rPr>
                <w:sz w:val="24"/>
                <w:szCs w:val="24"/>
                <w:lang w:val="ru-RU"/>
              </w:rPr>
              <w:t>що</w:t>
            </w:r>
            <w:r w:rsidR="00F03485" w:rsidRPr="002553B0">
              <w:rPr>
                <w:sz w:val="24"/>
                <w:szCs w:val="24"/>
              </w:rPr>
              <w:t xml:space="preserve"> </w:t>
            </w:r>
            <w:r w:rsidR="00F03485" w:rsidRPr="00F03485">
              <w:rPr>
                <w:sz w:val="24"/>
                <w:szCs w:val="24"/>
                <w:lang w:val="ru-RU"/>
              </w:rPr>
              <w:t>фінансується</w:t>
            </w:r>
            <w:r w:rsidR="00F03485" w:rsidRPr="002553B0">
              <w:rPr>
                <w:sz w:val="24"/>
                <w:szCs w:val="24"/>
              </w:rPr>
              <w:t xml:space="preserve"> GIZ </w:t>
            </w:r>
            <w:r w:rsidR="00F03485" w:rsidRPr="00F03485">
              <w:rPr>
                <w:sz w:val="24"/>
                <w:szCs w:val="24"/>
                <w:lang w:val="ru-RU"/>
              </w:rPr>
              <w:t>на</w:t>
            </w:r>
            <w:r w:rsidR="00F03485" w:rsidRPr="002553B0">
              <w:rPr>
                <w:sz w:val="24"/>
                <w:szCs w:val="24"/>
              </w:rPr>
              <w:t xml:space="preserve"> </w:t>
            </w:r>
            <w:r w:rsidR="00F03485" w:rsidRPr="00F03485">
              <w:rPr>
                <w:sz w:val="24"/>
                <w:szCs w:val="24"/>
                <w:lang w:val="ru-RU"/>
              </w:rPr>
              <w:t>замовлення</w:t>
            </w:r>
            <w:r w:rsidR="00F03485" w:rsidRPr="002553B0">
              <w:rPr>
                <w:sz w:val="24"/>
                <w:szCs w:val="24"/>
              </w:rPr>
              <w:t xml:space="preserve"> </w:t>
            </w:r>
            <w:r w:rsidR="00F03485" w:rsidRPr="00F03485">
              <w:rPr>
                <w:sz w:val="24"/>
                <w:szCs w:val="24"/>
                <w:lang w:val="ru-RU"/>
              </w:rPr>
              <w:t>Уряду</w:t>
            </w:r>
            <w:r w:rsidR="00F03485" w:rsidRPr="002553B0">
              <w:rPr>
                <w:sz w:val="24"/>
                <w:szCs w:val="24"/>
              </w:rPr>
              <w:t xml:space="preserve"> </w:t>
            </w:r>
            <w:r w:rsidR="00F03485" w:rsidRPr="00F03485">
              <w:rPr>
                <w:sz w:val="24"/>
                <w:szCs w:val="24"/>
                <w:lang w:val="ru-RU"/>
              </w:rPr>
              <w:t>Федеративної</w:t>
            </w:r>
            <w:r w:rsidR="00F03485" w:rsidRPr="002553B0">
              <w:rPr>
                <w:sz w:val="24"/>
                <w:szCs w:val="24"/>
              </w:rPr>
              <w:t xml:space="preserve"> </w:t>
            </w:r>
            <w:r w:rsidR="00F03485" w:rsidRPr="00F03485">
              <w:rPr>
                <w:sz w:val="24"/>
                <w:szCs w:val="24"/>
                <w:lang w:val="ru-RU"/>
              </w:rPr>
              <w:t>Республіки</w:t>
            </w:r>
            <w:r w:rsidR="00F03485" w:rsidRPr="002553B0">
              <w:rPr>
                <w:sz w:val="24"/>
                <w:szCs w:val="24"/>
              </w:rPr>
              <w:t xml:space="preserve"> </w:t>
            </w:r>
            <w:r w:rsidR="00F03485" w:rsidRPr="00F03485">
              <w:rPr>
                <w:sz w:val="24"/>
                <w:szCs w:val="24"/>
                <w:lang w:val="ru-RU"/>
              </w:rPr>
              <w:t>Німеччина</w:t>
            </w:r>
            <w:r w:rsidR="00D82450">
              <w:rPr>
                <w:sz w:val="24"/>
                <w:szCs w:val="24"/>
                <w:lang w:val="uk-UA"/>
              </w:rPr>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705945">
        <w:trPr>
          <w:trHeight w:val="58"/>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w:t>
            </w:r>
            <w:r w:rsidRPr="00877CD8">
              <w:rPr>
                <w:sz w:val="24"/>
                <w:szCs w:val="24"/>
                <w:lang w:val="ru-RU"/>
              </w:rPr>
              <w:lastRenderedPageBreak/>
              <w:t xml:space="preserve">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AFEE0CB"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w:t>
            </w:r>
            <w:r w:rsidR="00705945">
              <w:rPr>
                <w:color w:val="000000"/>
                <w:sz w:val="24"/>
                <w:szCs w:val="24"/>
                <w:lang w:val="ru-RU"/>
              </w:rPr>
              <w:t xml:space="preserve">/власноруч </w:t>
            </w:r>
            <w:r w:rsidRPr="00085907">
              <w:rPr>
                <w:color w:val="000000"/>
                <w:sz w:val="24"/>
                <w:szCs w:val="24"/>
                <w:lang w:val="ru-RU"/>
              </w:rPr>
              <w:t xml:space="preserve">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w:t>
            </w:r>
            <w:r w:rsidRPr="00877CD8">
              <w:rPr>
                <w:sz w:val="24"/>
                <w:szCs w:val="24"/>
              </w:rPr>
              <w:lastRenderedPageBreak/>
              <w:t>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lastRenderedPageBreak/>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49CF73A4"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F03485">
              <w:rPr>
                <w:b/>
                <w:sz w:val="24"/>
                <w:szCs w:val="24"/>
                <w:lang w:val="ru-RU"/>
              </w:rPr>
              <w:t>1</w:t>
            </w:r>
            <w:r w:rsidR="005C316B">
              <w:rPr>
                <w:b/>
                <w:sz w:val="24"/>
                <w:szCs w:val="24"/>
                <w:lang w:val="ru-RU"/>
              </w:rPr>
              <w:t>6</w:t>
            </w:r>
            <w:r w:rsidRPr="00F472C2">
              <w:rPr>
                <w:b/>
                <w:sz w:val="24"/>
                <w:szCs w:val="24"/>
                <w:lang w:val="ru-RU"/>
              </w:rPr>
              <w:t>.</w:t>
            </w:r>
            <w:r w:rsidR="004C2939" w:rsidRPr="00F472C2">
              <w:rPr>
                <w:b/>
                <w:sz w:val="24"/>
                <w:szCs w:val="24"/>
                <w:lang w:val="ru-RU"/>
              </w:rPr>
              <w:t>1</w:t>
            </w:r>
            <w:r w:rsidR="005C316B">
              <w:rPr>
                <w:b/>
                <w:sz w:val="24"/>
                <w:szCs w:val="24"/>
                <w:lang w:val="ru-RU"/>
              </w:rPr>
              <w:t>2</w:t>
            </w:r>
            <w:r w:rsidRPr="00F472C2">
              <w:rPr>
                <w:b/>
                <w:sz w:val="24"/>
                <w:szCs w:val="24"/>
                <w:lang w:val="ru-RU"/>
              </w:rPr>
              <w:t>.2024</w:t>
            </w:r>
            <w:r w:rsidRPr="00F472C2">
              <w:rPr>
                <w:b/>
                <w:spacing w:val="-1"/>
                <w:sz w:val="24"/>
                <w:szCs w:val="24"/>
                <w:lang w:val="ru-RU"/>
              </w:rPr>
              <w:t xml:space="preserve"> </w:t>
            </w:r>
            <w:r w:rsidRPr="00F472C2">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t xml:space="preserve">Зазначене обмеження не застосовується до громадян </w:t>
            </w:r>
            <w:r w:rsidRPr="00877CD8">
              <w:rPr>
                <w:sz w:val="24"/>
                <w:szCs w:val="24"/>
                <w:lang w:val="ru-RU"/>
              </w:rPr>
              <w:lastRenderedPageBreak/>
              <w:t>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w:t>
            </w:r>
            <w:r w:rsidRPr="00877CD8">
              <w:rPr>
                <w:color w:val="000000"/>
                <w:sz w:val="24"/>
                <w:szCs w:val="24"/>
                <w:lang w:val="ru-RU" w:eastAsia="uk-UA"/>
              </w:rPr>
              <w:lastRenderedPageBreak/>
              <w:t>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3D9E27C4"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val="ru-RU" w:eastAsia="uk-UA"/>
        </w:rPr>
        <w:t>1</w:t>
      </w:r>
      <w:r w:rsidRPr="00D82450">
        <w:rPr>
          <w:rFonts w:ascii="Times New Roman" w:hAnsi="Times New Roman" w:cs="Times New Roman"/>
          <w:color w:val="000000"/>
          <w:sz w:val="24"/>
          <w:szCs w:val="24"/>
          <w:lang w:eastAsia="uk-UA"/>
        </w:rPr>
        <w:t>. Резюме (</w:t>
      </w:r>
      <w:r w:rsidRPr="00D82450">
        <w:rPr>
          <w:rFonts w:ascii="Times New Roman" w:hAnsi="Times New Roman" w:cs="Times New Roman"/>
          <w:color w:val="000000"/>
          <w:sz w:val="24"/>
          <w:szCs w:val="24"/>
          <w:lang w:val="en-US" w:eastAsia="uk-UA"/>
        </w:rPr>
        <w:t>CV</w:t>
      </w:r>
      <w:r w:rsidRPr="00D82450">
        <w:rPr>
          <w:rFonts w:ascii="Times New Roman" w:hAnsi="Times New Roman" w:cs="Times New Roman"/>
          <w:color w:val="000000"/>
          <w:sz w:val="24"/>
          <w:szCs w:val="24"/>
          <w:lang w:eastAsia="uk-UA"/>
        </w:rPr>
        <w:t>) кандидата в довільній формі.</w:t>
      </w:r>
    </w:p>
    <w:p w14:paraId="77684D43"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14:paraId="7768F2FB"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3.1. </w:t>
      </w:r>
      <w:bookmarkStart w:id="2" w:name="_Hlk159920582"/>
      <w:r w:rsidRPr="00D82450">
        <w:rPr>
          <w:rFonts w:ascii="Times New Roman" w:hAnsi="Times New Roman" w:cs="Times New Roman"/>
          <w:color w:val="000000"/>
          <w:sz w:val="24"/>
          <w:szCs w:val="24"/>
          <w:lang w:eastAsia="uk-UA"/>
        </w:rPr>
        <w:t>Сканований оригінал(и) або завірені учасником копія(ії) аналогічного(их) договору(ів) або копію трудової книжки, тощо</w:t>
      </w:r>
      <w:bookmarkEnd w:id="2"/>
      <w:r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14:paraId="293E5C28"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5.1 </w:t>
      </w:r>
      <w:bookmarkStart w:id="3" w:name="_Hlk159920675"/>
      <w:r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3"/>
    </w:p>
    <w:p w14:paraId="19AFCBDF"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5.2 Декларація про майновий стан і доходи (для фізичних осіб/самозайнятих осіб);</w:t>
      </w:r>
    </w:p>
    <w:p w14:paraId="082CD805"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4" w:name="_Hlk159920743"/>
      <w:r w:rsidRPr="00D82450">
        <w:rPr>
          <w:rFonts w:ascii="Times New Roman" w:hAnsi="Times New Roman" w:cs="Times New Roman"/>
          <w:color w:val="000000"/>
          <w:sz w:val="24"/>
          <w:szCs w:val="24"/>
          <w:lang w:eastAsia="uk-UA"/>
        </w:rPr>
        <w:t>Вищевказана звітність повинна бути подана за 2022 та 2023 роки (консолідована, річна) разом із документами, що підтверджують отримання таких документів відповідними контролюючими органами.</w:t>
      </w:r>
      <w:bookmarkEnd w:id="4"/>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5"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5"/>
    </w:p>
    <w:p w14:paraId="1FC28B01"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6.1 </w:t>
      </w:r>
      <w:bookmarkStart w:id="6" w:name="_Hlk159920847"/>
      <w:r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D82450">
        <w:rPr>
          <w:rFonts w:ascii="Times New Roman" w:hAnsi="Times New Roman" w:cs="Times New Roman"/>
          <w:color w:val="000000"/>
          <w:sz w:val="24"/>
          <w:szCs w:val="24"/>
          <w:lang w:val="en-US" w:eastAsia="uk-UA"/>
        </w:rPr>
        <w:t>ID</w:t>
      </w:r>
      <w:r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6"/>
    </w:p>
    <w:p w14:paraId="0459B99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lastRenderedPageBreak/>
        <w:t>7. Заповнену учасниками таблицю «Загальна інформація» Додаток А1.</w:t>
      </w:r>
    </w:p>
    <w:p w14:paraId="39FF9C4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14:paraId="0CFA6F79" w14:textId="567747BD"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 xml:space="preserve">8.1.1 </w:t>
      </w:r>
      <w:bookmarkStart w:id="7"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7"/>
      <w:r w:rsidRPr="00D82450">
        <w:rPr>
          <w:rFonts w:ascii="Times New Roman" w:hAnsi="Times New Roman" w:cs="Times New Roman"/>
          <w:color w:val="000000"/>
          <w:sz w:val="24"/>
          <w:szCs w:val="24"/>
          <w:lang w:eastAsia="uk-UA"/>
        </w:rPr>
        <w:t>;</w:t>
      </w:r>
    </w:p>
    <w:p w14:paraId="7E9334DE" w14:textId="3908018A" w:rsid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 xml:space="preserve">8.1.2 </w:t>
      </w:r>
      <w:bookmarkStart w:id="8"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8"/>
      <w:r w:rsidRPr="00D82450">
        <w:rPr>
          <w:rFonts w:ascii="Times New Roman" w:hAnsi="Times New Roman" w:cs="Times New Roman"/>
          <w:color w:val="000000"/>
          <w:sz w:val="24"/>
          <w:szCs w:val="24"/>
          <w:lang w:eastAsia="uk-UA"/>
        </w:rPr>
        <w:t>;</w:t>
      </w:r>
    </w:p>
    <w:p w14:paraId="11ACAE64" w14:textId="032FE9D9" w:rsidR="002553B0" w:rsidRPr="00D82450" w:rsidRDefault="002553B0"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ab/>
        <w:t xml:space="preserve">8.1.3 </w:t>
      </w:r>
      <w:r w:rsidRPr="00877CD8">
        <w:rPr>
          <w:rFonts w:ascii="Times New Roman" w:hAnsi="Times New Roman" w:cs="Times New Roman"/>
          <w:color w:val="000000"/>
          <w:sz w:val="24"/>
          <w:szCs w:val="24"/>
          <w:lang w:eastAsia="uk-UA"/>
        </w:rPr>
        <w:t>Витяг з державного реєстру санкцій.</w:t>
      </w:r>
    </w:p>
    <w:p w14:paraId="706026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тендерних пропозицій.</w:t>
      </w:r>
    </w:p>
    <w:p w14:paraId="33B2E8E1" w14:textId="3638236E"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9.</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9"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9"/>
      <w:r w:rsidR="00BA0267" w:rsidRPr="00877CD8">
        <w:rPr>
          <w:rFonts w:ascii="Times New Roman" w:hAnsi="Times New Roman" w:cs="Times New Roman"/>
          <w:color w:val="000000"/>
          <w:sz w:val="24"/>
          <w:szCs w:val="24"/>
          <w:lang w:eastAsia="uk-UA"/>
        </w:rPr>
        <w:t>ї</w:t>
      </w:r>
      <w:r w:rsidRPr="00D82450">
        <w:rPr>
          <w:rFonts w:ascii="Times New Roman" w:hAnsi="Times New Roman" w:cs="Times New Roman"/>
          <w:color w:val="000000"/>
          <w:sz w:val="24"/>
          <w:szCs w:val="24"/>
          <w:lang w:eastAsia="uk-UA"/>
        </w:rPr>
        <w:t>.</w:t>
      </w:r>
    </w:p>
    <w:p w14:paraId="2E49BB40" w14:textId="77777777" w:rsidR="00705945" w:rsidRDefault="00705945" w:rsidP="00705945">
      <w:pPr>
        <w:spacing w:after="0" w:line="240" w:lineRule="auto"/>
        <w:jc w:val="both"/>
        <w:rPr>
          <w:rFonts w:ascii="Times New Roman" w:hAnsi="Times New Roman" w:cs="Times New Roman"/>
          <w:color w:val="000000"/>
          <w:sz w:val="24"/>
          <w:szCs w:val="24"/>
          <w:lang w:eastAsia="uk-UA"/>
        </w:rPr>
      </w:pPr>
    </w:p>
    <w:p w14:paraId="719CBF80" w14:textId="5DA14DCE" w:rsidR="00D82450" w:rsidRDefault="00705945" w:rsidP="00705945">
      <w:pPr>
        <w:spacing w:after="0" w:line="240" w:lineRule="auto"/>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ab/>
        <w:t>УВАГА !!! Прохання учасників не надавати у складі тендерної пропозиції документів, що не вимагались тендерною документацією, такі документи не будуть братись до уваги!</w:t>
      </w:r>
    </w:p>
    <w:p w14:paraId="1032C396" w14:textId="77777777" w:rsidR="00705945" w:rsidRPr="00705945" w:rsidRDefault="00705945" w:rsidP="00705945">
      <w:pPr>
        <w:spacing w:after="0" w:line="240" w:lineRule="auto"/>
        <w:jc w:val="both"/>
        <w:rPr>
          <w:rFonts w:ascii="Times New Roman" w:hAnsi="Times New Roman" w:cs="Times New Roman"/>
          <w:color w:val="000000"/>
          <w:sz w:val="24"/>
          <w:szCs w:val="24"/>
          <w:lang w:eastAsia="uk-UA"/>
        </w:rPr>
      </w:pPr>
    </w:p>
    <w:p w14:paraId="14E0F9D1" w14:textId="530345E7"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10"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r w:rsidR="00B67367">
        <w:rPr>
          <w:rFonts w:ascii="Times New Roman" w:hAnsi="Times New Roman" w:cs="Times New Roman"/>
          <w:color w:val="000000"/>
          <w:sz w:val="24"/>
          <w:szCs w:val="24"/>
          <w:lang w:eastAsia="uk-UA"/>
        </w:rPr>
        <w:t xml:space="preserve"> або із накладанням електронного підпису</w:t>
      </w:r>
      <w:r w:rsidRPr="00D82450">
        <w:rPr>
          <w:rFonts w:ascii="Times New Roman" w:hAnsi="Times New Roman" w:cs="Times New Roman"/>
          <w:color w:val="000000"/>
          <w:sz w:val="24"/>
          <w:szCs w:val="24"/>
          <w:lang w:eastAsia="uk-UA"/>
        </w:rPr>
        <w:t>.</w:t>
      </w:r>
      <w:bookmarkEnd w:id="10"/>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1"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bookmarkEnd w:id="1"/>
    <w:bookmarkEnd w:id="11"/>
    <w:p w14:paraId="7E3CAC62" w14:textId="06860C9D"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2" w:name="_Hlk17876366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3"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3"/>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Посада, назва учасника</w:t>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2"/>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1629" w:type="dxa"/>
        <w:tblInd w:w="113" w:type="dxa"/>
        <w:tblLayout w:type="fixed"/>
        <w:tblLook w:val="04A0" w:firstRow="1" w:lastRow="0" w:firstColumn="1" w:lastColumn="0" w:noHBand="0" w:noVBand="1"/>
      </w:tblPr>
      <w:tblGrid>
        <w:gridCol w:w="905"/>
        <w:gridCol w:w="638"/>
        <w:gridCol w:w="1430"/>
        <w:gridCol w:w="33"/>
        <w:gridCol w:w="1211"/>
        <w:gridCol w:w="206"/>
        <w:gridCol w:w="1276"/>
        <w:gridCol w:w="142"/>
        <w:gridCol w:w="394"/>
        <w:gridCol w:w="267"/>
        <w:gridCol w:w="1152"/>
        <w:gridCol w:w="266"/>
        <w:gridCol w:w="301"/>
        <w:gridCol w:w="1022"/>
        <w:gridCol w:w="288"/>
        <w:gridCol w:w="699"/>
        <w:gridCol w:w="927"/>
        <w:gridCol w:w="236"/>
        <w:gridCol w:w="236"/>
      </w:tblGrid>
      <w:tr w:rsidR="00D82450" w14:paraId="27AEFC93" w14:textId="77777777" w:rsidTr="00D82450">
        <w:trPr>
          <w:gridAfter w:val="4"/>
          <w:wAfter w:w="2098" w:type="dxa"/>
          <w:trHeight w:val="312"/>
        </w:trPr>
        <w:tc>
          <w:tcPr>
            <w:tcW w:w="9531" w:type="dxa"/>
            <w:gridSpan w:val="15"/>
            <w:shd w:val="clear" w:color="auto" w:fill="FFFFFF"/>
            <w:vAlign w:val="center"/>
            <w:hideMark/>
          </w:tcPr>
          <w:p w14:paraId="4CBDC803" w14:textId="77777777" w:rsidR="00D82450" w:rsidRDefault="00D82450" w:rsidP="00D82450">
            <w:pPr>
              <w:jc w:val="center"/>
              <w:rPr>
                <w:b/>
                <w:bCs/>
                <w:color w:val="0070C0"/>
                <w:sz w:val="24"/>
                <w:szCs w:val="24"/>
                <w:lang w:eastAsia="uk-UA"/>
              </w:rPr>
            </w:pPr>
            <w:bookmarkStart w:id="14" w:name="_Hlk159924958"/>
            <w:r>
              <w:rPr>
                <w:b/>
                <w:bCs/>
                <w:color w:val="0070C0"/>
                <w:sz w:val="24"/>
                <w:szCs w:val="24"/>
                <w:lang w:eastAsia="uk-UA"/>
              </w:rPr>
              <w:t>Поля, виділені синім, заповнює учасник тендеру!</w:t>
            </w:r>
          </w:p>
        </w:tc>
      </w:tr>
      <w:tr w:rsidR="00D82450" w14:paraId="3A5A58D9" w14:textId="77777777" w:rsidTr="0055131E">
        <w:trPr>
          <w:gridAfter w:val="4"/>
          <w:wAfter w:w="2098" w:type="dxa"/>
          <w:trHeight w:val="888"/>
        </w:trPr>
        <w:tc>
          <w:tcPr>
            <w:tcW w:w="1543" w:type="dxa"/>
            <w:gridSpan w:val="2"/>
            <w:shd w:val="clear" w:color="auto" w:fill="FFFFFF"/>
            <w:vAlign w:val="center"/>
            <w:hideMark/>
          </w:tcPr>
          <w:p w14:paraId="7F1C52F0"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 xml:space="preserve">Пропозиція дійсна до      </w:t>
            </w:r>
          </w:p>
        </w:tc>
        <w:tc>
          <w:tcPr>
            <w:tcW w:w="1430" w:type="dxa"/>
            <w:noWrap/>
            <w:vAlign w:val="bottom"/>
            <w:hideMark/>
          </w:tcPr>
          <w:p w14:paraId="7CA6C296"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_________</w:t>
            </w:r>
          </w:p>
        </w:tc>
        <w:tc>
          <w:tcPr>
            <w:tcW w:w="1244" w:type="dxa"/>
            <w:gridSpan w:val="2"/>
            <w:shd w:val="clear" w:color="auto" w:fill="FFFFFF"/>
            <w:noWrap/>
            <w:vAlign w:val="bottom"/>
            <w:hideMark/>
          </w:tcPr>
          <w:p w14:paraId="2483E902"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1482" w:type="dxa"/>
            <w:gridSpan w:val="2"/>
            <w:shd w:val="clear" w:color="auto" w:fill="FFFFFF"/>
            <w:noWrap/>
            <w:vAlign w:val="bottom"/>
            <w:hideMark/>
          </w:tcPr>
          <w:p w14:paraId="738EB695"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536" w:type="dxa"/>
            <w:gridSpan w:val="2"/>
            <w:shd w:val="clear" w:color="auto" w:fill="FFFFFF"/>
            <w:noWrap/>
            <w:vAlign w:val="bottom"/>
            <w:hideMark/>
          </w:tcPr>
          <w:p w14:paraId="44FF6F8F" w14:textId="77777777" w:rsidR="00D82450" w:rsidRPr="00D82450" w:rsidRDefault="00D82450" w:rsidP="00D82450">
            <w:pPr>
              <w:rPr>
                <w:rFonts w:ascii="Times New Roman" w:hAnsi="Times New Roman" w:cs="Times New Roman"/>
                <w:color w:val="000000"/>
                <w:lang w:eastAsia="uk-UA"/>
              </w:rPr>
            </w:pPr>
            <w:r w:rsidRPr="00D82450">
              <w:rPr>
                <w:rFonts w:ascii="Times New Roman" w:hAnsi="Times New Roman" w:cs="Times New Roman"/>
                <w:color w:val="000000"/>
                <w:lang w:eastAsia="uk-UA"/>
              </w:rPr>
              <w:t> </w:t>
            </w:r>
          </w:p>
        </w:tc>
        <w:tc>
          <w:tcPr>
            <w:tcW w:w="1419" w:type="dxa"/>
            <w:gridSpan w:val="2"/>
            <w:noWrap/>
            <w:vAlign w:val="center"/>
            <w:hideMark/>
          </w:tcPr>
          <w:p w14:paraId="16679D7D" w14:textId="77777777" w:rsidR="00D82450" w:rsidRPr="00D82450" w:rsidRDefault="00D82450" w:rsidP="00D82450">
            <w:pPr>
              <w:rPr>
                <w:rFonts w:ascii="Times New Roman" w:hAnsi="Times New Roman" w:cs="Times New Roman"/>
                <w:color w:val="000000"/>
                <w:lang w:eastAsia="uk-UA"/>
              </w:rPr>
            </w:pPr>
          </w:p>
        </w:tc>
        <w:tc>
          <w:tcPr>
            <w:tcW w:w="567" w:type="dxa"/>
            <w:gridSpan w:val="2"/>
            <w:noWrap/>
            <w:vAlign w:val="bottom"/>
            <w:hideMark/>
          </w:tcPr>
          <w:p w14:paraId="20118467" w14:textId="77777777" w:rsidR="00D82450" w:rsidRPr="00D82450" w:rsidRDefault="00D82450" w:rsidP="00D82450">
            <w:pPr>
              <w:rPr>
                <w:rFonts w:ascii="Times New Roman" w:hAnsi="Times New Roman" w:cs="Times New Roman"/>
                <w:sz w:val="20"/>
                <w:szCs w:val="20"/>
                <w:lang w:eastAsia="uk-UA"/>
              </w:rPr>
            </w:pPr>
          </w:p>
        </w:tc>
        <w:tc>
          <w:tcPr>
            <w:tcW w:w="1310" w:type="dxa"/>
            <w:gridSpan w:val="2"/>
            <w:noWrap/>
            <w:vAlign w:val="bottom"/>
            <w:hideMark/>
          </w:tcPr>
          <w:p w14:paraId="5B111B8A" w14:textId="77777777" w:rsidR="00D82450" w:rsidRPr="00D82450" w:rsidRDefault="00D82450" w:rsidP="00D82450">
            <w:pPr>
              <w:rPr>
                <w:rFonts w:ascii="Times New Roman" w:hAnsi="Times New Roman" w:cs="Times New Roman"/>
                <w:sz w:val="20"/>
                <w:szCs w:val="20"/>
                <w:lang w:eastAsia="uk-UA"/>
              </w:rPr>
            </w:pPr>
          </w:p>
        </w:tc>
        <w:bookmarkEnd w:id="14"/>
      </w:tr>
      <w:tr w:rsidR="00D82450" w14:paraId="363AE9C8" w14:textId="77777777" w:rsidTr="0055131E">
        <w:trPr>
          <w:gridAfter w:val="4"/>
          <w:wAfter w:w="2098"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2068" w:type="dxa"/>
            <w:gridSpan w:val="2"/>
            <w:tcBorders>
              <w:top w:val="single" w:sz="8" w:space="0" w:color="000000"/>
              <w:left w:val="nil"/>
              <w:bottom w:val="nil"/>
              <w:right w:val="single" w:sz="4" w:space="0" w:color="auto"/>
            </w:tcBorders>
            <w:noWrap/>
            <w:vAlign w:val="center"/>
            <w:hideMark/>
          </w:tcPr>
          <w:p w14:paraId="5EA002A5"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14:paraId="3B924B88"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одиниця</w:t>
            </w:r>
          </w:p>
        </w:tc>
        <w:tc>
          <w:tcPr>
            <w:tcW w:w="1482" w:type="dxa"/>
            <w:gridSpan w:val="2"/>
            <w:tcBorders>
              <w:top w:val="single" w:sz="8" w:space="0" w:color="000000"/>
              <w:left w:val="nil"/>
              <w:bottom w:val="nil"/>
              <w:right w:val="single" w:sz="4" w:space="0" w:color="auto"/>
            </w:tcBorders>
            <w:noWrap/>
            <w:vAlign w:val="center"/>
            <w:hideMark/>
          </w:tcPr>
          <w:p w14:paraId="76688734" w14:textId="543F2C9D"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Орієнтовна к-сть год</w:t>
            </w:r>
            <w:r w:rsidR="0055131E">
              <w:rPr>
                <w:rFonts w:ascii="Times New Roman" w:hAnsi="Times New Roman" w:cs="Times New Roman"/>
                <w:b/>
                <w:bCs/>
                <w:sz w:val="24"/>
                <w:szCs w:val="24"/>
                <w:lang w:eastAsia="uk-UA"/>
              </w:rPr>
              <w:t>ин</w:t>
            </w:r>
          </w:p>
        </w:tc>
        <w:tc>
          <w:tcPr>
            <w:tcW w:w="1955" w:type="dxa"/>
            <w:gridSpan w:val="4"/>
            <w:tcBorders>
              <w:top w:val="single" w:sz="8" w:space="0" w:color="000000"/>
              <w:left w:val="single" w:sz="4" w:space="0" w:color="auto"/>
              <w:bottom w:val="nil"/>
              <w:right w:val="single" w:sz="4" w:space="0" w:color="000000"/>
            </w:tcBorders>
            <w:shd w:val="clear" w:color="auto" w:fill="DDEBF7"/>
            <w:vAlign w:val="center"/>
            <w:hideMark/>
          </w:tcPr>
          <w:p w14:paraId="2317DE3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Ціна*, UAH за годину</w:t>
            </w:r>
          </w:p>
        </w:tc>
        <w:tc>
          <w:tcPr>
            <w:tcW w:w="1877" w:type="dxa"/>
            <w:gridSpan w:val="4"/>
            <w:tcBorders>
              <w:top w:val="single" w:sz="8" w:space="0" w:color="000000"/>
              <w:left w:val="nil"/>
              <w:bottom w:val="nil"/>
              <w:right w:val="single" w:sz="8" w:space="0" w:color="000000"/>
            </w:tcBorders>
            <w:shd w:val="clear" w:color="auto" w:fill="DDEBF7"/>
            <w:vAlign w:val="center"/>
            <w:hideMark/>
          </w:tcPr>
          <w:p w14:paraId="65B39A7F"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сума до, UAH </w:t>
            </w:r>
          </w:p>
        </w:tc>
      </w:tr>
      <w:tr w:rsidR="00D82450" w14:paraId="1ACBB418" w14:textId="77777777" w:rsidTr="0055131E">
        <w:trPr>
          <w:gridAfter w:val="4"/>
          <w:wAfter w:w="2098"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D82450" w:rsidRPr="00D82450" w:rsidRDefault="00D82450"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2068" w:type="dxa"/>
            <w:gridSpan w:val="2"/>
            <w:tcBorders>
              <w:top w:val="single" w:sz="8" w:space="0" w:color="000000"/>
              <w:left w:val="nil"/>
              <w:bottom w:val="single" w:sz="4" w:space="0" w:color="auto"/>
              <w:right w:val="nil"/>
            </w:tcBorders>
            <w:vAlign w:val="center"/>
            <w:hideMark/>
          </w:tcPr>
          <w:p w14:paraId="3C14EC5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Обсяг робіт і завдань описані в</w:t>
            </w:r>
            <w:r w:rsidRPr="00D82450">
              <w:rPr>
                <w:rFonts w:ascii="Times New Roman" w:hAnsi="Times New Roman" w:cs="Times New Roman"/>
                <w:b/>
                <w:color w:val="000000"/>
                <w:sz w:val="24"/>
                <w:szCs w:val="24"/>
                <w:lang w:eastAsia="uk-UA"/>
              </w:rPr>
              <w:t xml:space="preserve"> </w:t>
            </w:r>
            <w:r w:rsidRPr="00D82450">
              <w:rPr>
                <w:rFonts w:ascii="Times New Roman" w:hAnsi="Times New Roman" w:cs="Times New Roman"/>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14:paraId="09BBDA7E"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Людино-година</w:t>
            </w:r>
          </w:p>
        </w:tc>
        <w:tc>
          <w:tcPr>
            <w:tcW w:w="1482" w:type="dxa"/>
            <w:gridSpan w:val="2"/>
            <w:tcBorders>
              <w:top w:val="single" w:sz="8" w:space="0" w:color="000000"/>
              <w:left w:val="single" w:sz="4" w:space="0" w:color="auto"/>
              <w:bottom w:val="single" w:sz="4" w:space="0" w:color="auto"/>
              <w:right w:val="nil"/>
            </w:tcBorders>
            <w:vAlign w:val="center"/>
            <w:hideMark/>
          </w:tcPr>
          <w:p w14:paraId="06B9C42E" w14:textId="5420AC2D" w:rsidR="00D82450" w:rsidRPr="00D82450" w:rsidRDefault="00CA4AC2"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w:t>
            </w:r>
            <w:r w:rsidR="005E1B19">
              <w:rPr>
                <w:rFonts w:ascii="Times New Roman" w:hAnsi="Times New Roman" w:cs="Times New Roman"/>
                <w:color w:val="000000"/>
                <w:sz w:val="24"/>
                <w:szCs w:val="24"/>
                <w:lang w:eastAsia="uk-UA"/>
              </w:rPr>
              <w:t>00</w:t>
            </w:r>
          </w:p>
        </w:tc>
        <w:tc>
          <w:tcPr>
            <w:tcW w:w="536" w:type="dxa"/>
            <w:gridSpan w:val="2"/>
            <w:tcBorders>
              <w:top w:val="single" w:sz="8" w:space="0" w:color="000000"/>
              <w:left w:val="single" w:sz="4" w:space="0" w:color="auto"/>
              <w:bottom w:val="single" w:sz="4" w:space="0" w:color="auto"/>
              <w:right w:val="nil"/>
            </w:tcBorders>
            <w:shd w:val="clear" w:color="auto" w:fill="DDEBF7"/>
            <w:vAlign w:val="center"/>
            <w:hideMark/>
          </w:tcPr>
          <w:p w14:paraId="1FA7D93A"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14:paraId="0545489C"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14:paraId="4DFF478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310" w:type="dxa"/>
            <w:gridSpan w:val="2"/>
            <w:tcBorders>
              <w:top w:val="single" w:sz="8" w:space="0" w:color="000000"/>
              <w:left w:val="single" w:sz="4" w:space="0" w:color="000000"/>
              <w:bottom w:val="single" w:sz="4" w:space="0" w:color="000000"/>
              <w:right w:val="single" w:sz="8" w:space="0" w:color="000000"/>
            </w:tcBorders>
            <w:shd w:val="clear" w:color="auto" w:fill="DEEAF6" w:themeFill="accent5" w:themeFillTint="33"/>
            <w:noWrap/>
            <w:vAlign w:val="center"/>
            <w:hideMark/>
          </w:tcPr>
          <w:p w14:paraId="55683BD1"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r>
      <w:tr w:rsidR="00D82450" w14:paraId="075E45F8" w14:textId="77777777" w:rsidTr="00D82450">
        <w:trPr>
          <w:gridAfter w:val="4"/>
          <w:wAfter w:w="2098" w:type="dxa"/>
          <w:trHeight w:val="393"/>
        </w:trPr>
        <w:tc>
          <w:tcPr>
            <w:tcW w:w="6235" w:type="dxa"/>
            <w:gridSpan w:val="9"/>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3296" w:type="dxa"/>
            <w:gridSpan w:val="6"/>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0,00</w:t>
            </w:r>
          </w:p>
        </w:tc>
      </w:tr>
      <w:tr w:rsidR="00D82450" w14:paraId="50AE1998" w14:textId="77777777" w:rsidTr="00D82450">
        <w:trPr>
          <w:gridAfter w:val="3"/>
          <w:wAfter w:w="1399" w:type="dxa"/>
          <w:trHeight w:val="312"/>
        </w:trPr>
        <w:tc>
          <w:tcPr>
            <w:tcW w:w="9531" w:type="dxa"/>
            <w:gridSpan w:val="15"/>
            <w:shd w:val="clear" w:color="auto" w:fill="FFFFFF"/>
            <w:noWrap/>
            <w:vAlign w:val="bottom"/>
            <w:hideMark/>
          </w:tcPr>
          <w:p w14:paraId="46AEDF6F" w14:textId="77777777" w:rsidR="00D82450" w:rsidRDefault="00D82450" w:rsidP="00D82450">
            <w:pPr>
              <w:jc w:val="center"/>
              <w:rPr>
                <w:b/>
                <w:bCs/>
                <w:sz w:val="24"/>
                <w:szCs w:val="24"/>
                <w:lang w:eastAsia="uk-UA"/>
              </w:rPr>
            </w:pPr>
            <w:r>
              <w:rPr>
                <w:b/>
                <w:bCs/>
                <w:sz w:val="24"/>
                <w:szCs w:val="24"/>
                <w:lang w:eastAsia="uk-UA"/>
              </w:rPr>
              <w:t> </w:t>
            </w:r>
          </w:p>
        </w:tc>
        <w:tc>
          <w:tcPr>
            <w:tcW w:w="699" w:type="dxa"/>
            <w:noWrap/>
            <w:vAlign w:val="bottom"/>
            <w:hideMark/>
          </w:tcPr>
          <w:p w14:paraId="3DBE82D6" w14:textId="77777777" w:rsidR="00D82450" w:rsidRDefault="00D82450" w:rsidP="00D82450">
            <w:pPr>
              <w:rPr>
                <w:b/>
                <w:bCs/>
                <w:sz w:val="24"/>
                <w:szCs w:val="24"/>
                <w:lang w:eastAsia="uk-UA"/>
              </w:rPr>
            </w:pPr>
          </w:p>
        </w:tc>
      </w:tr>
      <w:tr w:rsidR="00D82450" w14:paraId="6039554D" w14:textId="77777777" w:rsidTr="00D82450">
        <w:trPr>
          <w:gridAfter w:val="3"/>
          <w:wAfter w:w="1399" w:type="dxa"/>
          <w:trHeight w:val="312"/>
        </w:trPr>
        <w:tc>
          <w:tcPr>
            <w:tcW w:w="10230" w:type="dxa"/>
            <w:gridSpan w:val="16"/>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77777777"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 xml:space="preserve">**ціни за одиницю вказуються через 2 цифри після коми </w:t>
            </w:r>
          </w:p>
        </w:tc>
      </w:tr>
      <w:tr w:rsidR="00904FFC" w:rsidRPr="00877CD8" w14:paraId="5F6887F2" w14:textId="77777777" w:rsidTr="00D82450">
        <w:trPr>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gridSpan w:val="2"/>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gridSpan w:val="2"/>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gridSpan w:val="2"/>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D82450">
        <w:trPr>
          <w:gridAfter w:val="5"/>
          <w:wAfter w:w="2386" w:type="dxa"/>
          <w:trHeight w:val="405"/>
        </w:trPr>
        <w:tc>
          <w:tcPr>
            <w:tcW w:w="442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D82450">
        <w:trPr>
          <w:gridAfter w:val="5"/>
          <w:wAfter w:w="2386" w:type="dxa"/>
          <w:trHeight w:val="405"/>
        </w:trPr>
        <w:tc>
          <w:tcPr>
            <w:tcW w:w="4423" w:type="dxa"/>
            <w:gridSpan w:val="6"/>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D82450">
        <w:trPr>
          <w:gridAfter w:val="5"/>
          <w:wAfter w:w="2386" w:type="dxa"/>
          <w:trHeight w:val="660"/>
        </w:trPr>
        <w:tc>
          <w:tcPr>
            <w:tcW w:w="924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D703B81" w14:textId="77777777" w:rsidR="00D82450" w:rsidRPr="002165F6" w:rsidRDefault="00D82450" w:rsidP="00D82450">
      <w:pPr>
        <w:pStyle w:val="2"/>
        <w:spacing w:before="0"/>
        <w:rPr>
          <w:rFonts w:ascii="Times New Roman" w:hAnsi="Times New Roman" w:cs="Times New Roman"/>
          <w:color w:val="auto"/>
          <w:sz w:val="24"/>
          <w:szCs w:val="24"/>
        </w:rPr>
      </w:pPr>
      <w:r w:rsidRPr="002165F6">
        <w:rPr>
          <w:rFonts w:ascii="Times New Roman" w:hAnsi="Times New Roman" w:cs="Times New Roman"/>
          <w:color w:val="auto"/>
          <w:sz w:val="24"/>
          <w:szCs w:val="24"/>
        </w:rPr>
        <w:t xml:space="preserve">Опис </w:t>
      </w:r>
    </w:p>
    <w:p w14:paraId="15A7861A" w14:textId="77777777" w:rsidR="00D82450" w:rsidRPr="002165F6" w:rsidRDefault="00D82450" w:rsidP="00D82450">
      <w:pPr>
        <w:pStyle w:val="a3"/>
        <w:spacing w:before="0" w:beforeAutospacing="0" w:after="0" w:afterAutospacing="0"/>
        <w:jc w:val="both"/>
      </w:pPr>
      <w:r w:rsidRPr="002165F6">
        <w:t>Благодійна організація «Благодійний фонд «Сміливі» шукає в команду</w:t>
      </w:r>
      <w:r>
        <w:t xml:space="preserve"> </w:t>
      </w:r>
      <w:r w:rsidRPr="0072790B">
        <w:rPr>
          <w:sz w:val="23"/>
          <w:szCs w:val="23"/>
        </w:rPr>
        <w:t>координатора з будівництва об’єктів</w:t>
      </w:r>
      <w:r w:rsidRPr="002165F6">
        <w:t xml:space="preserve"> для роботи з</w:t>
      </w:r>
      <w:r>
        <w:t>а</w:t>
      </w:r>
      <w:r w:rsidRPr="002165F6">
        <w:t xml:space="preserve"> інституційним грантом</w:t>
      </w:r>
      <w:r>
        <w:t>.</w:t>
      </w:r>
    </w:p>
    <w:p w14:paraId="56D05CCD" w14:textId="77777777" w:rsidR="00D82450" w:rsidRPr="00C911DA" w:rsidRDefault="00D82450" w:rsidP="00D82450">
      <w:pPr>
        <w:pStyle w:val="a3"/>
        <w:spacing w:before="0" w:beforeAutospacing="0" w:after="0" w:afterAutospacing="0"/>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C911DA">
        <w:t>ктів здійснюється за рахунок коштів Фонду, які надаються йому благодійниками та донорами в тому числі – з-за кордону.</w:t>
      </w:r>
    </w:p>
    <w:p w14:paraId="1284F7A5" w14:textId="77777777" w:rsidR="00D82450" w:rsidRPr="002165F6" w:rsidRDefault="00D82450" w:rsidP="00D82450">
      <w:pPr>
        <w:pStyle w:val="a3"/>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121D403F" w14:textId="04EC355A" w:rsidR="00D82450" w:rsidRPr="000E32EB" w:rsidRDefault="00D82450" w:rsidP="00D82450">
      <w:pPr>
        <w:pStyle w:val="a3"/>
        <w:spacing w:before="0" w:beforeAutospacing="0" w:after="0" w:afterAutospacing="0"/>
        <w:ind w:firstLine="720"/>
        <w:jc w:val="both"/>
      </w:pPr>
      <w:r w:rsidRPr="000E32EB">
        <w:t xml:space="preserve">Територія надання послуг: </w:t>
      </w:r>
      <w:r w:rsidR="004E1803">
        <w:t>Харківська</w:t>
      </w:r>
      <w:r w:rsidRPr="000E32EB">
        <w:t xml:space="preserve"> област</w:t>
      </w:r>
      <w:r w:rsidR="004E1803">
        <w:t>ь</w:t>
      </w:r>
      <w:r w:rsidRPr="000E32EB">
        <w:t>.</w:t>
      </w:r>
    </w:p>
    <w:p w14:paraId="0736796C" w14:textId="731A632E" w:rsidR="00D82450" w:rsidRPr="000E32EB" w:rsidRDefault="00D82450" w:rsidP="00D82450">
      <w:pPr>
        <w:pStyle w:val="a3"/>
        <w:spacing w:before="0" w:beforeAutospacing="0" w:after="0" w:afterAutospacing="0"/>
        <w:ind w:firstLine="720"/>
        <w:jc w:val="both"/>
      </w:pPr>
      <w:r w:rsidRPr="000E32EB">
        <w:t>Орієнтовний перелік послуг:·</w:t>
      </w:r>
    </w:p>
    <w:p w14:paraId="4FDCD11E"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Організація, координація підрядників, місцевої влади, служб технічного нагляду, субпідрядних організацій для виконання ремонтно-оздоблювальних робіт.</w:t>
      </w:r>
    </w:p>
    <w:p w14:paraId="654F3E2B"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Участь у складанні загального графіку виконання робіт на об'єкті, його погодження із сумісними виконавцями, замовником.</w:t>
      </w:r>
    </w:p>
    <w:p w14:paraId="2C10E265"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Контроль строків виконання ремонтно-оздоблювальних робіт відповідно до затвердженого графіка.</w:t>
      </w:r>
    </w:p>
    <w:p w14:paraId="1ECA1050"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Контроль за дотриманням норм виконання ремонтно-оздоблювальних робіт відповідно до нормативно-правової бази в сфері будівництва, ДБН та ін. документації.</w:t>
      </w:r>
    </w:p>
    <w:p w14:paraId="48E09BD0"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Погодження заявок на матеріали та контроль їх виконання відповідними структурними підрозділами.</w:t>
      </w:r>
    </w:p>
    <w:p w14:paraId="6BC650BA"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Взаємодія із усіма структурними підрозділами фонду, місцевих органів влади, підрядних, субпідрядних організацій і служб технічного нагляду.</w:t>
      </w:r>
    </w:p>
    <w:p w14:paraId="3213EB6E"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Перевірка та погодження об'ємів виконаних робіт від субпідрядних організацій, виконавців.</w:t>
      </w:r>
    </w:p>
    <w:p w14:paraId="413B982D"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Проведення нарад із субпідрядними організаціями, виконавцями.</w:t>
      </w:r>
    </w:p>
    <w:p w14:paraId="2649DF8D"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Участь в комісіях по здачі об'єкта.</w:t>
      </w:r>
    </w:p>
    <w:p w14:paraId="4FB85406" w14:textId="7B11D898" w:rsidR="001B61F5" w:rsidRPr="00E2584B" w:rsidRDefault="00D82450" w:rsidP="00D82450">
      <w:pPr>
        <w:pStyle w:val="a3"/>
        <w:spacing w:before="0" w:beforeAutospacing="0" w:after="0" w:afterAutospacing="0"/>
        <w:ind w:left="709"/>
        <w:jc w:val="both"/>
      </w:pPr>
      <w:r w:rsidRPr="009204E7">
        <w:rPr>
          <w:color w:val="000000"/>
        </w:rPr>
        <w:t>Контроль за своєчасною підготовкою субпідрядними організаціями виконавчої документації, актів виконаних робіт та іншої документації.</w:t>
      </w: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tbl>
      <w:tblPr>
        <w:tblStyle w:val="af0"/>
        <w:tblW w:w="9649" w:type="dxa"/>
        <w:tblInd w:w="1" w:type="dxa"/>
        <w:tblLook w:val="04A0" w:firstRow="1" w:lastRow="0" w:firstColumn="1" w:lastColumn="0" w:noHBand="0" w:noVBand="1"/>
      </w:tblPr>
      <w:tblGrid>
        <w:gridCol w:w="4956"/>
        <w:gridCol w:w="4693"/>
      </w:tblGrid>
      <w:tr w:rsidR="00E109AC" w:rsidRPr="0076294D" w14:paraId="0B51548E" w14:textId="77777777" w:rsidTr="00CF374F">
        <w:tc>
          <w:tcPr>
            <w:tcW w:w="4956" w:type="dxa"/>
          </w:tcPr>
          <w:p w14:paraId="1C7FDA02"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ДОГОВІР №</w:t>
            </w:r>
          </w:p>
          <w:p w14:paraId="6FDB4F0C" w14:textId="77777777" w:rsidR="00E109AC" w:rsidRPr="0076294D" w:rsidRDefault="00E109AC" w:rsidP="00705945">
            <w:pPr>
              <w:rPr>
                <w:rFonts w:ascii="Times New Roman" w:hAnsi="Times New Roman" w:cs="Times New Roman"/>
                <w:b/>
                <w:color w:val="000000"/>
              </w:rPr>
            </w:pPr>
            <w:r w:rsidRPr="0076294D">
              <w:rPr>
                <w:rFonts w:ascii="Times New Roman" w:hAnsi="Times New Roman" w:cs="Times New Roman"/>
                <w:bCs/>
                <w:color w:val="000000"/>
              </w:rPr>
              <w:t>місто Київ</w:t>
            </w:r>
            <w:r w:rsidRPr="0076294D">
              <w:rPr>
                <w:rFonts w:ascii="Times New Roman" w:hAnsi="Times New Roman" w:cs="Times New Roman"/>
                <w:bCs/>
                <w:color w:val="000000"/>
              </w:rPr>
              <w:tab/>
            </w:r>
            <w:r w:rsidRPr="0076294D">
              <w:rPr>
                <w:rFonts w:ascii="Times New Roman" w:hAnsi="Times New Roman" w:cs="Times New Roman"/>
                <w:bCs/>
                <w:color w:val="000000"/>
              </w:rPr>
              <w:tab/>
              <w:t xml:space="preserve">           р</w:t>
            </w:r>
          </w:p>
        </w:tc>
        <w:tc>
          <w:tcPr>
            <w:tcW w:w="4693" w:type="dxa"/>
          </w:tcPr>
          <w:p w14:paraId="4B7474C6"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CONTRACT </w:t>
            </w:r>
          </w:p>
          <w:p w14:paraId="4DB09BAF" w14:textId="77777777" w:rsidR="00E109AC" w:rsidRPr="0076294D" w:rsidRDefault="00E109AC" w:rsidP="00705945">
            <w:pPr>
              <w:rPr>
                <w:rFonts w:ascii="Times New Roman" w:hAnsi="Times New Roman" w:cs="Times New Roman"/>
                <w:b/>
                <w:color w:val="000000"/>
                <w:lang w:val="en-US"/>
              </w:rPr>
            </w:pPr>
            <w:r w:rsidRPr="0076294D">
              <w:rPr>
                <w:rFonts w:ascii="Times New Roman" w:hAnsi="Times New Roman" w:cs="Times New Roman"/>
                <w:bCs/>
                <w:color w:val="000000"/>
                <w:lang w:val="en-US"/>
              </w:rPr>
              <w:t xml:space="preserve">City of Kyiv </w:t>
            </w:r>
          </w:p>
        </w:tc>
      </w:tr>
      <w:tr w:rsidR="00E109AC" w:rsidRPr="00567F9B" w14:paraId="064881D4" w14:textId="77777777" w:rsidTr="00CF374F">
        <w:tc>
          <w:tcPr>
            <w:tcW w:w="4956" w:type="dxa"/>
          </w:tcPr>
          <w:p w14:paraId="4A25861B" w14:textId="77777777" w:rsidR="00E109AC" w:rsidRPr="00B307DA" w:rsidRDefault="00E109AC" w:rsidP="00705945">
            <w:pPr>
              <w:jc w:val="both"/>
              <w:rPr>
                <w:rFonts w:ascii="Times New Roman" w:hAnsi="Times New Roman" w:cs="Times New Roman"/>
                <w:bCs/>
                <w:color w:val="000000"/>
              </w:rPr>
            </w:pPr>
            <w:r>
              <w:rPr>
                <w:rFonts w:ascii="Times New Roman" w:hAnsi="Times New Roman" w:cs="Times New Roman"/>
                <w:bCs/>
                <w:color w:val="000000"/>
              </w:rPr>
              <w:t>________________________________________</w:t>
            </w:r>
            <w:r w:rsidRPr="00B307DA">
              <w:rPr>
                <w:rFonts w:ascii="Times New Roman" w:hAnsi="Times New Roman" w:cs="Times New Roman"/>
                <w:bCs/>
                <w:color w:val="000000"/>
              </w:rPr>
              <w:t xml:space="preserve">, іменована надалі Виконавець, є платником </w:t>
            </w:r>
            <w:r>
              <w:rPr>
                <w:rFonts w:ascii="Times New Roman" w:hAnsi="Times New Roman" w:cs="Times New Roman"/>
                <w:bCs/>
                <w:color w:val="000000"/>
              </w:rPr>
              <w:t>__________________________</w:t>
            </w:r>
            <w:r w:rsidRPr="00B307DA">
              <w:rPr>
                <w:rFonts w:ascii="Times New Roman" w:hAnsi="Times New Roman" w:cs="Times New Roman"/>
                <w:bCs/>
                <w:color w:val="000000"/>
              </w:rPr>
              <w:t>, з однієї сторони</w:t>
            </w:r>
          </w:p>
          <w:p w14:paraId="1C968E55"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 xml:space="preserve">та </w:t>
            </w:r>
          </w:p>
          <w:p w14:paraId="56DF022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14:paraId="4462A9F9"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1</w:t>
            </w:r>
            <w:r w:rsidRPr="00B307DA">
              <w:rPr>
                <w:rFonts w:ascii="Times New Roman" w:hAnsi="Times New Roman" w:cs="Times New Roman"/>
                <w:bCs/>
                <w:color w:val="000000"/>
              </w:rPr>
              <w:tab/>
              <w:t>Предмет Договору</w:t>
            </w:r>
          </w:p>
          <w:p w14:paraId="181F8F7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1.1.</w:t>
            </w:r>
            <w:r w:rsidRPr="00B307DA">
              <w:rPr>
                <w:rFonts w:ascii="Times New Roman" w:hAnsi="Times New Roman" w:cs="Times New Roman"/>
                <w:bCs/>
                <w:color w:val="000000"/>
              </w:rPr>
              <w:tab/>
              <w:t xml:space="preserve">За цим Договором Виконавець бере на себе зобов'язання надати наступні послуги: </w:t>
            </w:r>
          </w:p>
          <w:p w14:paraId="0DCEE807"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Організація, координація підрядників, місцевої влади, служб технічного нагляду, субпідрядних організацій для виконання ремонтно-оздоблювальних робіт. </w:t>
            </w:r>
          </w:p>
          <w:p w14:paraId="55A7FF53"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Участь у складанні загального графіку виконання робіт на об'єкті, його погодження із сумісними виконавцями, замовником. </w:t>
            </w:r>
          </w:p>
          <w:p w14:paraId="28FB087E"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Контроль строків виконання ремонтно-оздоблювальних робіт відповідно до затвердженого графіка. </w:t>
            </w:r>
          </w:p>
          <w:p w14:paraId="41818E7C"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Контроль за дотриманням норм виконання ремонтно-оздоблювальних робіт відповідно до нормативно-правової бази в сфері будівництва, ДБН та ін. документації.</w:t>
            </w:r>
          </w:p>
          <w:p w14:paraId="2243F42E"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Погодження заявок на матеріали та контроль їх виконання відповідними структурними підрозділами. </w:t>
            </w:r>
          </w:p>
          <w:p w14:paraId="23FB46FA"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Взаємодія із усіма структурними підрозділами фонду, місцевих органів влади, підрядних, субпідрядних організацій і служб технічного нагляду.</w:t>
            </w:r>
          </w:p>
          <w:p w14:paraId="79DEBC7C"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Перевірка та погодження об'ємів виконаних робіт від субпідрядних організацій, виконавців. </w:t>
            </w:r>
          </w:p>
          <w:p w14:paraId="70F1CED0"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Проведення нарад із субпідрядними організаціями, виконавцями. </w:t>
            </w:r>
          </w:p>
          <w:p w14:paraId="079805D1"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Участь в комісіях по здачі об'єкта. </w:t>
            </w:r>
          </w:p>
          <w:p w14:paraId="6E23C6F7"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Контроль за своєчасною підготовкою субпідрядними організаціями виконавчої </w:t>
            </w:r>
            <w:r w:rsidRPr="00B307DA">
              <w:rPr>
                <w:rFonts w:ascii="Times New Roman" w:hAnsi="Times New Roman" w:cs="Times New Roman"/>
                <w:bCs/>
                <w:color w:val="000000"/>
              </w:rPr>
              <w:lastRenderedPageBreak/>
              <w:t xml:space="preserve">документації, актів виконаних робіт та іншої документації; </w:t>
            </w:r>
          </w:p>
          <w:p w14:paraId="6D94D9BA"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інші послуги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14:paraId="0271B946" w14:textId="77777777" w:rsidR="00E109AC" w:rsidRPr="00B307DA" w:rsidRDefault="00E109AC" w:rsidP="00705945">
            <w:pPr>
              <w:ind w:hanging="2"/>
              <w:jc w:val="both"/>
              <w:rPr>
                <w:rFonts w:ascii="Times New Roman" w:hAnsi="Times New Roman" w:cs="Times New Roman"/>
                <w:bCs/>
                <w:color w:val="000000"/>
              </w:rPr>
            </w:pPr>
            <w:r w:rsidRPr="00B307DA">
              <w:rPr>
                <w:rFonts w:ascii="Times New Roman" w:hAnsi="Times New Roman" w:cs="Times New Roman"/>
                <w:bCs/>
                <w:color w:val="000000"/>
              </w:rPr>
              <w:t>1.2.  Замовник залучає Виконавця у зв’язку з реалізацією в межах своєї статутної діяльності проектів, що обумовлюються Грантовою угодою №81307244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5FDD59EA"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w:t>
            </w:r>
            <w:r w:rsidRPr="00B307DA">
              <w:rPr>
                <w:rFonts w:ascii="Times New Roman" w:hAnsi="Times New Roman" w:cs="Times New Roman"/>
                <w:bCs/>
                <w:color w:val="000000"/>
              </w:rPr>
              <w:tab/>
              <w:t>Порядок виконання робіт</w:t>
            </w:r>
          </w:p>
          <w:p w14:paraId="49CF5BA6"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2.1.</w:t>
            </w:r>
            <w:r w:rsidRPr="00B307DA">
              <w:rPr>
                <w:rFonts w:ascii="Times New Roman" w:hAnsi="Times New Roman" w:cs="Times New Roman"/>
                <w:bCs/>
                <w:color w:val="000000"/>
              </w:rPr>
              <w:tab/>
              <w:t xml:space="preserve">Послуги надаються за заявками Замовника, які можуть бути зроблені в усній або письмовій формі посадовими особами Замовника. </w:t>
            </w:r>
          </w:p>
          <w:p w14:paraId="32FBC087"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2.2.</w:t>
            </w:r>
            <w:r w:rsidRPr="00B307DA">
              <w:rPr>
                <w:rFonts w:ascii="Times New Roman" w:hAnsi="Times New Roman" w:cs="Times New Roman"/>
                <w:bCs/>
                <w:color w:val="000000"/>
              </w:rPr>
              <w:tab/>
              <w:t>Результати надання послуг фіксуються у Звітах та Актах виконаних робіт, які надаються Виконавцем Замовнику.</w:t>
            </w:r>
          </w:p>
          <w:p w14:paraId="7F15D0FB"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2.3.</w:t>
            </w:r>
            <w:r w:rsidRPr="00B307DA">
              <w:rPr>
                <w:rFonts w:ascii="Times New Roman" w:hAnsi="Times New Roman" w:cs="Times New Roman"/>
                <w:bCs/>
                <w:color w:val="000000"/>
              </w:rPr>
              <w:tab/>
              <w:t>Граничний строк виконання послуг Виконавцем визначається у відповідному замовленні/завданні Замовника.</w:t>
            </w:r>
          </w:p>
          <w:p w14:paraId="02FF3A81"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2.4.</w:t>
            </w:r>
            <w:r w:rsidRPr="00B307DA">
              <w:rPr>
                <w:rFonts w:ascii="Times New Roman" w:hAnsi="Times New Roman" w:cs="Times New Roman"/>
                <w:bCs/>
                <w:color w:val="000000"/>
              </w:rPr>
              <w:tab/>
              <w:t xml:space="preserve">За результатами наданих послуг сторонами підписується Акт виконаних робіт. Обов’язок складення Акту покладається на Виконавця. </w:t>
            </w:r>
          </w:p>
          <w:p w14:paraId="14740A2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2.5.</w:t>
            </w:r>
            <w:r w:rsidRPr="00B307DA">
              <w:rPr>
                <w:rFonts w:ascii="Times New Roman" w:hAnsi="Times New Roman" w:cs="Times New Roman"/>
                <w:bCs/>
                <w:color w:val="000000"/>
              </w:rPr>
              <w:tab/>
              <w:t>Замовник по отриманню Акту виконаних робіт від Виконавця зобов’язаний підписати такий Акт та надати його підписаний примірник Виконавцю, або надати зауваження до Акту, які розглядаються Виконавцем протягом 2-х робочих днів та після надання пояснень Виконавця відповідний Акт подається повторно.</w:t>
            </w:r>
          </w:p>
          <w:p w14:paraId="42B66937"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2.6.</w:t>
            </w:r>
            <w:r w:rsidRPr="00B307DA">
              <w:rPr>
                <w:rFonts w:ascii="Times New Roman" w:hAnsi="Times New Roman" w:cs="Times New Roman"/>
                <w:bCs/>
                <w:color w:val="000000"/>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14:paraId="6AEF34CD"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2.7.</w:t>
            </w:r>
            <w:r w:rsidRPr="00B307DA">
              <w:rPr>
                <w:rFonts w:ascii="Times New Roman" w:hAnsi="Times New Roman" w:cs="Times New Roman"/>
                <w:bCs/>
                <w:color w:val="000000"/>
              </w:rPr>
              <w:tab/>
              <w:t xml:space="preserve">Виконавець має право в будь-який час відмовитись від надання послуг за цим Договором проінформувавши про це Замовника у письмовій формі за 10 (десять) робочих днів до запланованої дати припинення Договору. </w:t>
            </w:r>
          </w:p>
          <w:p w14:paraId="75C983CC"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w:t>
            </w:r>
            <w:r w:rsidRPr="00B307DA">
              <w:rPr>
                <w:rFonts w:ascii="Times New Roman" w:hAnsi="Times New Roman" w:cs="Times New Roman"/>
                <w:bCs/>
                <w:color w:val="000000"/>
              </w:rPr>
              <w:tab/>
              <w:t>Зобов'язання Сторін</w:t>
            </w:r>
          </w:p>
          <w:p w14:paraId="4ED2158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w:t>
            </w:r>
            <w:r w:rsidRPr="00B307DA">
              <w:rPr>
                <w:rFonts w:ascii="Times New Roman" w:hAnsi="Times New Roman" w:cs="Times New Roman"/>
                <w:bCs/>
                <w:color w:val="000000"/>
              </w:rPr>
              <w:tab/>
              <w:t>Замовник зобов'язується:</w:t>
            </w:r>
          </w:p>
          <w:p w14:paraId="6C90D5F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3.1.1.</w:t>
            </w:r>
            <w:r w:rsidRPr="00B307DA">
              <w:rPr>
                <w:rFonts w:ascii="Times New Roman" w:hAnsi="Times New Roman" w:cs="Times New Roman"/>
                <w:bCs/>
                <w:color w:val="000000"/>
              </w:rPr>
              <w:tab/>
              <w:t>надати Виконавцю в електронній формі або за телефоном, що вказано у цьому договорі замовлення/завдання на послуги;</w:t>
            </w:r>
          </w:p>
          <w:p w14:paraId="0B6CB96D"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lastRenderedPageBreak/>
              <w:t>3.1.2.</w:t>
            </w:r>
            <w:r w:rsidRPr="00B307DA">
              <w:rPr>
                <w:rFonts w:ascii="Times New Roman" w:hAnsi="Times New Roman" w:cs="Times New Roman"/>
                <w:bCs/>
                <w:color w:val="000000"/>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14:paraId="65123EAC"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3.1.3.</w:t>
            </w:r>
            <w:r w:rsidRPr="00B307DA">
              <w:rPr>
                <w:rFonts w:ascii="Times New Roman" w:hAnsi="Times New Roman" w:cs="Times New Roman"/>
                <w:bCs/>
                <w:color w:val="000000"/>
              </w:rPr>
              <w:tab/>
              <w:t>забезпечити, по мірі виникнення питань, Виконавця інформацією та матеріалами, що необхідні для виконання цього Договору;</w:t>
            </w:r>
          </w:p>
          <w:p w14:paraId="07FB2F8B"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3.1.4.</w:t>
            </w:r>
            <w:r w:rsidRPr="00B307DA">
              <w:rPr>
                <w:rFonts w:ascii="Times New Roman" w:hAnsi="Times New Roman" w:cs="Times New Roman"/>
                <w:bCs/>
                <w:color w:val="000000"/>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зауваження до Акту;</w:t>
            </w:r>
          </w:p>
          <w:p w14:paraId="4A5B9FEB"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3.1.5.</w:t>
            </w:r>
            <w:r w:rsidRPr="00B307DA">
              <w:rPr>
                <w:rFonts w:ascii="Times New Roman" w:hAnsi="Times New Roman" w:cs="Times New Roman"/>
                <w:bCs/>
                <w:color w:val="000000"/>
              </w:rPr>
              <w:tab/>
              <w:t>у строки, що визначені цим Договором сплатити на користь Виконавця винагороду;</w:t>
            </w:r>
          </w:p>
          <w:p w14:paraId="3812CB9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3.1.6.</w:t>
            </w:r>
            <w:r w:rsidRPr="00B307DA">
              <w:rPr>
                <w:rFonts w:ascii="Times New Roman" w:hAnsi="Times New Roman" w:cs="Times New Roman"/>
                <w:bCs/>
                <w:color w:val="000000"/>
              </w:rPr>
              <w:tab/>
              <w:t>у разі відмови від підписання Акту виконаних робіт без обґрунтування причин такої відмови — сплатити винагороду Виконавцю в розмірі, що визначена цим Договором незалежно від підписання чи не підписання Акту виконаних робіт, якщо фактично роботи було виконано Виконавцем;</w:t>
            </w:r>
          </w:p>
          <w:p w14:paraId="44195C29"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3.1.7.</w:t>
            </w:r>
            <w:r w:rsidRPr="00B307DA">
              <w:rPr>
                <w:rFonts w:ascii="Times New Roman" w:hAnsi="Times New Roman" w:cs="Times New Roman"/>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14:paraId="1BF177D9"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3.2.</w:t>
            </w:r>
            <w:r w:rsidRPr="00B307DA">
              <w:rPr>
                <w:rFonts w:ascii="Times New Roman" w:hAnsi="Times New Roman" w:cs="Times New Roman"/>
                <w:bCs/>
                <w:color w:val="000000"/>
              </w:rPr>
              <w:tab/>
              <w:t>Виконавець зобов'язується:</w:t>
            </w:r>
          </w:p>
          <w:p w14:paraId="198F8957"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3.2.1.</w:t>
            </w:r>
            <w:r w:rsidRPr="00B307DA">
              <w:rPr>
                <w:rFonts w:ascii="Times New Roman" w:hAnsi="Times New Roman" w:cs="Times New Roman"/>
                <w:bCs/>
                <w:color w:val="000000"/>
              </w:rPr>
              <w:tab/>
              <w:t>надавати послуги належної якості, в обсягах і в строки, визначені у даному Договорі та технічному завданні/замовленні;</w:t>
            </w:r>
          </w:p>
          <w:p w14:paraId="3294895A"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3.2.2.</w:t>
            </w:r>
            <w:r w:rsidRPr="00B307DA">
              <w:rPr>
                <w:rFonts w:ascii="Times New Roman" w:hAnsi="Times New Roman" w:cs="Times New Roman"/>
                <w:bCs/>
                <w:color w:val="000000"/>
              </w:rPr>
              <w:tab/>
              <w:t>при здійсненні діяльності не виходити за межі цього Договору;</w:t>
            </w:r>
          </w:p>
          <w:p w14:paraId="076604C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3.2.3.</w:t>
            </w:r>
            <w:r w:rsidRPr="00B307DA">
              <w:rPr>
                <w:rFonts w:ascii="Times New Roman" w:hAnsi="Times New Roman" w:cs="Times New Roman"/>
                <w:bCs/>
                <w:color w:val="000000"/>
              </w:rPr>
              <w:tab/>
              <w:t>надати Замовнику проект Акту виконаних робіт у строки, що визначені цим Договором;</w:t>
            </w:r>
          </w:p>
          <w:p w14:paraId="6FD14FC1"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3.2.4.</w:t>
            </w:r>
            <w:r w:rsidRPr="00B307DA">
              <w:rPr>
                <w:rFonts w:ascii="Times New Roman" w:hAnsi="Times New Roman" w:cs="Times New Roman"/>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14:paraId="4BED91AE"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w:t>
            </w:r>
            <w:r w:rsidRPr="00B307DA">
              <w:rPr>
                <w:rFonts w:ascii="Times New Roman" w:hAnsi="Times New Roman" w:cs="Times New Roman"/>
                <w:bCs/>
                <w:color w:val="000000"/>
              </w:rPr>
              <w:tab/>
              <w:t>Вартість  робіт, порядок  розрахунків</w:t>
            </w:r>
          </w:p>
          <w:p w14:paraId="73FA8FB5"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4.1.</w:t>
            </w:r>
            <w:r w:rsidRPr="00B307DA">
              <w:rPr>
                <w:rFonts w:ascii="Times New Roman" w:hAnsi="Times New Roman" w:cs="Times New Roman"/>
                <w:bCs/>
                <w:color w:val="000000"/>
              </w:rPr>
              <w:tab/>
              <w:t xml:space="preserve">За надання послуг за цим Договором Замовником Виконавцю сплачується винагорода, розмір якої погоджується Сторонами при наданні замовлення, фіксується у рахунку Виконавця та зазначається у Акті виконаних робіт, без ПДВ (сторони не є платниками ПДВ). Загальна ціна цього Договору не може перевищувати суму, що еквівалентна </w:t>
            </w:r>
            <w:r>
              <w:rPr>
                <w:rFonts w:ascii="Times New Roman" w:hAnsi="Times New Roman" w:cs="Times New Roman"/>
                <w:bCs/>
                <w:color w:val="000000"/>
              </w:rPr>
              <w:t>________</w:t>
            </w:r>
            <w:r w:rsidRPr="00B307DA">
              <w:rPr>
                <w:rFonts w:ascii="Times New Roman" w:hAnsi="Times New Roman" w:cs="Times New Roman"/>
                <w:bCs/>
                <w:color w:val="000000"/>
              </w:rPr>
              <w:t xml:space="preserve"> за весь час строку дії цього Договору. Сторони погодили, що оплата послуг Виконавця проводиться в залежності від кількості годин роботи Виконавця, що витрачено ним на надання послуг, з розрахунку </w:t>
            </w:r>
            <w:r>
              <w:rPr>
                <w:rFonts w:ascii="Times New Roman" w:hAnsi="Times New Roman" w:cs="Times New Roman"/>
                <w:bCs/>
                <w:color w:val="000000"/>
              </w:rPr>
              <w:t>_______</w:t>
            </w:r>
            <w:r w:rsidRPr="00B307DA">
              <w:rPr>
                <w:rFonts w:ascii="Times New Roman" w:hAnsi="Times New Roman" w:cs="Times New Roman"/>
                <w:bCs/>
                <w:color w:val="000000"/>
              </w:rPr>
              <w:t xml:space="preserve"> грн. за одну годину роботи Виконавця. Облік часу, що витрачено Виконавцем, здійснює Виконавець.</w:t>
            </w:r>
          </w:p>
          <w:p w14:paraId="6E68083D"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4.2.</w:t>
            </w:r>
            <w:r w:rsidRPr="00B307DA">
              <w:rPr>
                <w:rFonts w:ascii="Times New Roman" w:hAnsi="Times New Roman" w:cs="Times New Roman"/>
                <w:bCs/>
                <w:color w:val="000000"/>
              </w:rPr>
              <w:tab/>
              <w:t xml:space="preserve">Виплата винагороди Виконавцю провадиться Замовником протягом 5 (п’яти) робочих днів з дати підписання Акту виконаних </w:t>
            </w:r>
            <w:r w:rsidRPr="00B307DA">
              <w:rPr>
                <w:rFonts w:ascii="Times New Roman" w:hAnsi="Times New Roman" w:cs="Times New Roman"/>
                <w:bCs/>
                <w:color w:val="000000"/>
              </w:rPr>
              <w:lastRenderedPageBreak/>
              <w:t xml:space="preserve">робіт, якщо інший строк не погоджений сторонами. </w:t>
            </w:r>
          </w:p>
          <w:p w14:paraId="2811052C"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4.3.</w:t>
            </w:r>
            <w:r w:rsidRPr="00B307DA">
              <w:rPr>
                <w:rFonts w:ascii="Times New Roman" w:hAnsi="Times New Roman" w:cs="Times New Roman"/>
                <w:bCs/>
                <w:color w:val="000000"/>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14:paraId="300029F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4.4.</w:t>
            </w:r>
            <w:r w:rsidRPr="00B307DA">
              <w:rPr>
                <w:rFonts w:ascii="Times New Roman" w:hAnsi="Times New Roman" w:cs="Times New Roman"/>
                <w:bCs/>
                <w:color w:val="000000"/>
              </w:rPr>
              <w:tab/>
              <w:t>Датою оплати є дата зарахування коштів на поточний рахунок Виконавця, що підтверджується відповідною банківською випискою.</w:t>
            </w:r>
          </w:p>
          <w:p w14:paraId="1156154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4.5.</w:t>
            </w:r>
            <w:r w:rsidRPr="00B307DA">
              <w:rPr>
                <w:rFonts w:ascii="Times New Roman" w:hAnsi="Times New Roman" w:cs="Times New Roman"/>
                <w:bCs/>
                <w:color w:val="000000"/>
              </w:rPr>
              <w:tab/>
              <w:t>Розрахована відповідно до цього Договору сума є ціною цього Договору та включає всі визначені законодавством України податки та збори.</w:t>
            </w:r>
          </w:p>
          <w:p w14:paraId="2E7A77D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4.6.</w:t>
            </w:r>
            <w:r w:rsidRPr="00B307DA">
              <w:rPr>
                <w:rFonts w:ascii="Times New Roman" w:hAnsi="Times New Roman" w:cs="Times New Roman"/>
                <w:bCs/>
                <w:color w:val="000000"/>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14:paraId="2B545E6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5</w:t>
            </w:r>
            <w:r w:rsidRPr="00B307DA">
              <w:rPr>
                <w:rFonts w:ascii="Times New Roman" w:hAnsi="Times New Roman" w:cs="Times New Roman"/>
                <w:bCs/>
                <w:color w:val="000000"/>
              </w:rPr>
              <w:tab/>
              <w:t>Відповідальність Сторін</w:t>
            </w:r>
          </w:p>
          <w:p w14:paraId="5EB67374"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5.1.</w:t>
            </w:r>
            <w:r w:rsidRPr="00B307DA">
              <w:rPr>
                <w:rFonts w:ascii="Times New Roman" w:hAnsi="Times New Roman" w:cs="Times New Roman"/>
                <w:bCs/>
                <w:color w:val="000000"/>
              </w:rPr>
              <w:tab/>
              <w:t xml:space="preserve">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14:paraId="18780169"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5.2.</w:t>
            </w:r>
            <w:r w:rsidRPr="00B307DA">
              <w:rPr>
                <w:rFonts w:ascii="Times New Roman" w:hAnsi="Times New Roman" w:cs="Times New Roman"/>
                <w:bCs/>
                <w:color w:val="000000"/>
              </w:rPr>
              <w:tab/>
              <w:t>Замовник несе відповідальність за несвоєчасну оплату послуг Виконавця.</w:t>
            </w:r>
          </w:p>
          <w:p w14:paraId="4EDACB92"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14:paraId="3AC0833F"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5.3.</w:t>
            </w:r>
            <w:r w:rsidRPr="00B307DA">
              <w:rPr>
                <w:rFonts w:ascii="Times New Roman" w:hAnsi="Times New Roman" w:cs="Times New Roman"/>
                <w:bCs/>
                <w:color w:val="000000"/>
              </w:rPr>
              <w:tab/>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14:paraId="0677CE40"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6</w:t>
            </w:r>
            <w:r w:rsidRPr="00B307DA">
              <w:rPr>
                <w:rFonts w:ascii="Times New Roman" w:hAnsi="Times New Roman" w:cs="Times New Roman"/>
                <w:bCs/>
                <w:color w:val="000000"/>
              </w:rPr>
              <w:tab/>
              <w:t>Форс-Мажор</w:t>
            </w:r>
          </w:p>
          <w:p w14:paraId="3D300FDE"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6.1.</w:t>
            </w:r>
            <w:r w:rsidRPr="00B307DA">
              <w:rPr>
                <w:rFonts w:ascii="Times New Roman" w:hAnsi="Times New Roman" w:cs="Times New Roman"/>
                <w:bCs/>
                <w:color w:val="000000"/>
              </w:rPr>
              <w:tab/>
              <w:t>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14:paraId="77DD8E56"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6.2.</w:t>
            </w:r>
            <w:r w:rsidRPr="00B307DA">
              <w:rPr>
                <w:rFonts w:ascii="Times New Roman" w:hAnsi="Times New Roman" w:cs="Times New Roman"/>
                <w:bCs/>
                <w:color w:val="000000"/>
              </w:rPr>
              <w:tab/>
              <w:t xml:space="preserve">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w:t>
            </w:r>
            <w:r w:rsidRPr="00B307DA">
              <w:rPr>
                <w:rFonts w:ascii="Times New Roman" w:hAnsi="Times New Roman" w:cs="Times New Roman"/>
                <w:bCs/>
                <w:color w:val="000000"/>
              </w:rPr>
              <w:lastRenderedPageBreak/>
              <w:t>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14:paraId="09AA7F84"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6.3.</w:t>
            </w:r>
            <w:r w:rsidRPr="00B307DA">
              <w:rPr>
                <w:rFonts w:ascii="Times New Roman" w:hAnsi="Times New Roman" w:cs="Times New Roman"/>
                <w:bCs/>
                <w:color w:val="000000"/>
              </w:rPr>
              <w:tab/>
              <w:t>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повідомлення про припинення не пізніше, ніж за 10 календарних днів.</w:t>
            </w:r>
          </w:p>
          <w:p w14:paraId="6CEAB19C"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7</w:t>
            </w:r>
            <w:r w:rsidRPr="00B307DA">
              <w:rPr>
                <w:rFonts w:ascii="Times New Roman" w:hAnsi="Times New Roman" w:cs="Times New Roman"/>
                <w:bCs/>
                <w:color w:val="000000"/>
              </w:rPr>
              <w:tab/>
              <w:t>Кількість екземплярів і термін дії Договору</w:t>
            </w:r>
          </w:p>
          <w:p w14:paraId="02AC928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7.1.</w:t>
            </w:r>
            <w:r w:rsidRPr="00B307DA">
              <w:rPr>
                <w:rFonts w:ascii="Times New Roman" w:hAnsi="Times New Roman" w:cs="Times New Roman"/>
                <w:bCs/>
                <w:color w:val="000000"/>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14:paraId="317E0B67"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7.2.</w:t>
            </w:r>
            <w:r w:rsidRPr="00B307DA">
              <w:rPr>
                <w:rFonts w:ascii="Times New Roman" w:hAnsi="Times New Roman" w:cs="Times New Roman"/>
                <w:bCs/>
                <w:color w:val="000000"/>
              </w:rPr>
              <w:tab/>
              <w:t xml:space="preserve">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січня 2025 року, за умови належного виконання сторонами своїх обов’язків за цим Договором.  </w:t>
            </w:r>
          </w:p>
          <w:p w14:paraId="4B883766"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7.3.</w:t>
            </w:r>
            <w:r w:rsidRPr="00B307DA">
              <w:rPr>
                <w:rFonts w:ascii="Times New Roman" w:hAnsi="Times New Roman" w:cs="Times New Roman"/>
                <w:bCs/>
                <w:color w:val="000000"/>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10 робочих днів до запланованої дати. У цей період сторони мають підписати всі документи та провести всі розрахунки за цим Договором.</w:t>
            </w:r>
          </w:p>
          <w:p w14:paraId="43C231C0"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7.4.</w:t>
            </w:r>
            <w:r w:rsidRPr="00B307DA">
              <w:rPr>
                <w:rFonts w:ascii="Times New Roman" w:hAnsi="Times New Roman" w:cs="Times New Roman"/>
                <w:bCs/>
                <w:color w:val="000000"/>
              </w:rPr>
              <w:tab/>
              <w:t>Всі повідомлення надсилаються в письмовій формі на відомі адреси сторін, що вказані у цьому Договорі.</w:t>
            </w:r>
          </w:p>
          <w:p w14:paraId="0BFB699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w:t>
            </w:r>
            <w:r w:rsidRPr="00B307DA">
              <w:rPr>
                <w:rFonts w:ascii="Times New Roman" w:hAnsi="Times New Roman" w:cs="Times New Roman"/>
                <w:bCs/>
                <w:color w:val="000000"/>
              </w:rPr>
              <w:tab/>
              <w:t>Інші умови</w:t>
            </w:r>
          </w:p>
          <w:p w14:paraId="470EB3B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8.1.</w:t>
            </w:r>
            <w:r w:rsidRPr="00B307DA">
              <w:rPr>
                <w:rFonts w:ascii="Times New Roman" w:hAnsi="Times New Roman" w:cs="Times New Roman"/>
                <w:bCs/>
                <w:color w:val="000000"/>
              </w:rPr>
              <w:tab/>
              <w:t>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14:paraId="1A10BECF"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8.2.</w:t>
            </w:r>
            <w:r w:rsidRPr="00B307DA">
              <w:rPr>
                <w:rFonts w:ascii="Times New Roman" w:hAnsi="Times New Roman" w:cs="Times New Roman"/>
                <w:bCs/>
                <w:color w:val="000000"/>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14:paraId="0F74CA71"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8.3.</w:t>
            </w:r>
            <w:r w:rsidRPr="00B307DA">
              <w:rPr>
                <w:rFonts w:ascii="Times New Roman" w:hAnsi="Times New Roman" w:cs="Times New Roman"/>
                <w:bCs/>
                <w:color w:val="000000"/>
              </w:rPr>
              <w:tab/>
              <w:t xml:space="preserve">Будь-які зміни і доповнення до даного Договору, що є його невід'ємною частиною, </w:t>
            </w:r>
            <w:r w:rsidRPr="00B307DA">
              <w:rPr>
                <w:rFonts w:ascii="Times New Roman" w:hAnsi="Times New Roman" w:cs="Times New Roman"/>
                <w:bCs/>
                <w:color w:val="000000"/>
              </w:rPr>
              <w:lastRenderedPageBreak/>
              <w:t>будуть мати силу в тому випадку, якщо вони зроблені в письмовій формі і підписані Сторонами.</w:t>
            </w:r>
          </w:p>
          <w:p w14:paraId="0E87103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8.4.</w:t>
            </w:r>
            <w:r w:rsidRPr="00B307DA">
              <w:rPr>
                <w:rFonts w:ascii="Times New Roman" w:hAnsi="Times New Roman" w:cs="Times New Roman"/>
                <w:bCs/>
                <w:color w:val="000000"/>
              </w:rPr>
              <w:tab/>
              <w:t xml:space="preserve">Усі суперечки і розбіжності, що можуть виникнути при виконанні даного Договору, Сторони намагаються вирішити шляхом переговорів. У випадку не досягнення згоди - суперечки вирішуються  у судовому порядку з застосуванням права України. </w:t>
            </w:r>
          </w:p>
          <w:p w14:paraId="6E85EC8A"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8.5.</w:t>
            </w:r>
            <w:r w:rsidRPr="00B307DA">
              <w:rPr>
                <w:rFonts w:ascii="Times New Roman" w:hAnsi="Times New Roman" w:cs="Times New Roman"/>
                <w:bCs/>
                <w:color w:val="000000"/>
              </w:rPr>
              <w:tab/>
              <w:t xml:space="preserve">Виконавець є платником </w:t>
            </w:r>
            <w:r>
              <w:rPr>
                <w:rFonts w:ascii="Times New Roman" w:hAnsi="Times New Roman" w:cs="Times New Roman"/>
                <w:bCs/>
                <w:color w:val="000000"/>
              </w:rPr>
              <w:t>____________</w:t>
            </w:r>
            <w:r w:rsidRPr="00B307DA">
              <w:rPr>
                <w:rFonts w:ascii="Times New Roman" w:hAnsi="Times New Roman" w:cs="Times New Roman"/>
                <w:bCs/>
                <w:color w:val="000000"/>
              </w:rPr>
              <w:t>.</w:t>
            </w:r>
          </w:p>
          <w:p w14:paraId="22D04CD1"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8.6.</w:t>
            </w:r>
            <w:r w:rsidRPr="00B307DA">
              <w:rPr>
                <w:rFonts w:ascii="Times New Roman" w:hAnsi="Times New Roman" w:cs="Times New Roman"/>
                <w:bCs/>
                <w:color w:val="000000"/>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14:paraId="2C1FA9F2"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8.7. Документообіг між Сторонами (у тому числі, але не виключно, підписання та обмін актами, рахунками, листами тощо) може здійснюватися у формі електронних документів із використанням погоджених сторонами платформ електронного документообігу.</w:t>
            </w:r>
          </w:p>
          <w:p w14:paraId="55C76F58"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8.8.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14:paraId="5F077947"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 Електронні підписи уповноважених осіб (цифровий підпис або КЕП);</w:t>
            </w:r>
          </w:p>
          <w:p w14:paraId="3CC491BA"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 Власноручні підписи уповноважених осіб Сторін на паперових носіях документів.</w:t>
            </w:r>
          </w:p>
          <w:p w14:paraId="5C176CDA"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8.9. Дата підписання електронного документу не впливає на дату його складення та визначальною є дата складення документу.</w:t>
            </w:r>
          </w:p>
          <w:p w14:paraId="09B7D0B3" w14:textId="77777777" w:rsidR="00E109AC" w:rsidRPr="00B307DA" w:rsidRDefault="00E109AC" w:rsidP="00705945">
            <w:pPr>
              <w:jc w:val="both"/>
              <w:rPr>
                <w:rFonts w:ascii="Times New Roman" w:hAnsi="Times New Roman" w:cs="Times New Roman"/>
                <w:bCs/>
                <w:color w:val="000000"/>
              </w:rPr>
            </w:pPr>
            <w:r w:rsidRPr="00B307DA">
              <w:rPr>
                <w:rFonts w:ascii="Times New Roman" w:hAnsi="Times New Roman" w:cs="Times New Roman"/>
                <w:bCs/>
                <w:color w:val="000000"/>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14:paraId="6BCE0CE9"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9.</w:t>
            </w:r>
            <w:r w:rsidRPr="0076294D">
              <w:rPr>
                <w:rFonts w:ascii="Times New Roman" w:hAnsi="Times New Roman" w:cs="Times New Roman"/>
                <w:bCs/>
                <w:color w:val="000000"/>
              </w:rPr>
              <w:tab/>
              <w:t>Реквізити сторін:</w:t>
            </w:r>
          </w:p>
          <w:p w14:paraId="5AD23516"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Замовник:</w:t>
            </w:r>
            <w:r w:rsidRPr="0076294D">
              <w:rPr>
                <w:rFonts w:ascii="Times New Roman" w:hAnsi="Times New Roman" w:cs="Times New Roman"/>
                <w:bCs/>
                <w:color w:val="000000"/>
              </w:rPr>
              <w:tab/>
            </w:r>
          </w:p>
          <w:p w14:paraId="4D4B834E"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64F919E8"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4363B990"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63D2B2CF" w14:textId="77777777" w:rsidR="00E109AC" w:rsidRPr="00616DB9" w:rsidRDefault="00E109AC" w:rsidP="00705945">
            <w:pPr>
              <w:rPr>
                <w:rFonts w:ascii="Times New Roman" w:hAnsi="Times New Roman" w:cs="Times New Roman"/>
                <w:bCs/>
                <w:color w:val="000000"/>
                <w:highlight w:val="yellow"/>
              </w:rPr>
            </w:pPr>
            <w:r w:rsidRPr="00CB7B46">
              <w:rPr>
                <w:rFonts w:ascii="Times New Roman" w:hAnsi="Times New Roman" w:cs="Times New Roman"/>
                <w:bCs/>
              </w:rPr>
              <w:t>IBAN UA</w:t>
            </w:r>
            <w:r w:rsidRPr="00CB7B46">
              <w:rPr>
                <w:rFonts w:ascii="Times New Roman" w:hAnsi="Times New Roman" w:cs="Times New Roman"/>
                <w:bCs/>
                <w:color w:val="000000"/>
              </w:rPr>
              <w:t xml:space="preserve">103052990000026003005027044   </w:t>
            </w:r>
          </w:p>
          <w:p w14:paraId="2522A5D0" w14:textId="77777777" w:rsidR="00E109AC" w:rsidRPr="0076294D" w:rsidRDefault="00E109AC" w:rsidP="00705945">
            <w:pPr>
              <w:rPr>
                <w:rFonts w:ascii="Times New Roman" w:hAnsi="Times New Roman" w:cs="Times New Roman"/>
                <w:bCs/>
                <w:color w:val="000000"/>
              </w:rPr>
            </w:pPr>
            <w:r w:rsidRPr="00CB7B46">
              <w:rPr>
                <w:rFonts w:ascii="Times New Roman" w:hAnsi="Times New Roman" w:cs="Times New Roman"/>
                <w:bCs/>
                <w:color w:val="000000"/>
              </w:rPr>
              <w:t>МФО 305299</w:t>
            </w:r>
          </w:p>
          <w:p w14:paraId="3D3FE4A5"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FC5090">
              <w:rPr>
                <w:rFonts w:ascii="Times New Roman" w:hAnsi="Times New Roman" w:cs="Times New Roman"/>
                <w:bCs/>
                <w:color w:val="000000"/>
              </w:rPr>
              <w:t>14360570</w:t>
            </w:r>
          </w:p>
          <w:p w14:paraId="57335DBD"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68A006A8"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5E2C438E"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63288755"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FC5090">
              <w:rPr>
                <w:rFonts w:ascii="Times New Roman" w:hAnsi="Times New Roman" w:cs="Times New Roman"/>
                <w:bCs/>
                <w:color w:val="000000"/>
              </w:rPr>
              <w:t xml:space="preserve"> </w:t>
            </w:r>
            <w:r w:rsidRPr="0076294D">
              <w:rPr>
                <w:rFonts w:ascii="Times New Roman" w:hAnsi="Times New Roman" w:cs="Times New Roman"/>
                <w:bCs/>
                <w:color w:val="000000"/>
              </w:rPr>
              <w:t>selyk@brave.org.ua</w:t>
            </w:r>
          </w:p>
          <w:p w14:paraId="24DCC589"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4492E3B3" w14:textId="77777777" w:rsidR="00E109AC" w:rsidRPr="0076294D" w:rsidRDefault="00E109AC" w:rsidP="00705945">
            <w:pPr>
              <w:rPr>
                <w:rFonts w:ascii="Times New Roman" w:hAnsi="Times New Roman" w:cs="Times New Roman"/>
                <w:bCs/>
                <w:color w:val="000000"/>
              </w:rPr>
            </w:pPr>
          </w:p>
          <w:p w14:paraId="52361614"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___________________ СЕЛИК Віталій</w:t>
            </w:r>
          </w:p>
          <w:p w14:paraId="7FF9E51D" w14:textId="77777777" w:rsidR="00E109AC" w:rsidRPr="002F1EB7" w:rsidRDefault="00E109AC" w:rsidP="00705945">
            <w:pPr>
              <w:ind w:left="-1"/>
              <w:rPr>
                <w:rFonts w:ascii="Times New Roman" w:hAnsi="Times New Roman" w:cs="Times New Roman"/>
                <w:bCs/>
                <w:color w:val="000000"/>
              </w:rPr>
            </w:pPr>
            <w:r w:rsidRPr="0076294D">
              <w:rPr>
                <w:rFonts w:ascii="Times New Roman" w:hAnsi="Times New Roman" w:cs="Times New Roman"/>
                <w:bCs/>
                <w:color w:val="000000"/>
              </w:rPr>
              <w:t>Виконавец</w:t>
            </w:r>
            <w:r>
              <w:rPr>
                <w:rFonts w:ascii="Times New Roman" w:hAnsi="Times New Roman" w:cs="Times New Roman"/>
                <w:bCs/>
                <w:color w:val="000000"/>
              </w:rPr>
              <w:t>ь:</w:t>
            </w:r>
          </w:p>
          <w:p w14:paraId="30D7804C" w14:textId="77777777" w:rsidR="00E109AC" w:rsidRPr="002F1EB7" w:rsidRDefault="00E109AC" w:rsidP="00705945">
            <w:pPr>
              <w:rPr>
                <w:rFonts w:ascii="Times New Roman" w:hAnsi="Times New Roman" w:cs="Times New Roman"/>
                <w:bCs/>
                <w:color w:val="000000"/>
              </w:rPr>
            </w:pPr>
          </w:p>
        </w:tc>
        <w:tc>
          <w:tcPr>
            <w:tcW w:w="4693" w:type="dxa"/>
          </w:tcPr>
          <w:p w14:paraId="5661B9B3" w14:textId="77777777" w:rsidR="00E109AC" w:rsidRDefault="00E109AC" w:rsidP="00705945">
            <w:pPr>
              <w:jc w:val="both"/>
              <w:rPr>
                <w:rFonts w:ascii="Times New Roman" w:hAnsi="Times New Roman" w:cs="Times New Roman"/>
                <w:bCs/>
                <w:color w:val="000000"/>
              </w:rPr>
            </w:pPr>
            <w:r>
              <w:rPr>
                <w:rFonts w:ascii="Times New Roman" w:hAnsi="Times New Roman" w:cs="Times New Roman"/>
                <w:bCs/>
                <w:color w:val="000000"/>
              </w:rPr>
              <w:lastRenderedPageBreak/>
              <w:t>_______________________________________</w:t>
            </w:r>
            <w:r w:rsidRPr="0076294D">
              <w:rPr>
                <w:rFonts w:ascii="Times New Roman" w:hAnsi="Times New Roman" w:cs="Times New Roman"/>
                <w:bCs/>
                <w:color w:val="000000"/>
              </w:rPr>
              <w:t xml:space="preserve">, hereinafter referred to as the Contractor, is a taxpayer </w:t>
            </w:r>
            <w:r>
              <w:rPr>
                <w:rFonts w:ascii="Times New Roman" w:hAnsi="Times New Roman" w:cs="Times New Roman"/>
                <w:bCs/>
                <w:color w:val="000000"/>
              </w:rPr>
              <w:t>__________________</w:t>
            </w:r>
            <w:r w:rsidRPr="0076294D">
              <w:rPr>
                <w:rFonts w:ascii="Times New Roman" w:hAnsi="Times New Roman" w:cs="Times New Roman"/>
                <w:bCs/>
                <w:color w:val="000000"/>
              </w:rPr>
              <w:t xml:space="preserve">, on the one side </w:t>
            </w:r>
          </w:p>
          <w:p w14:paraId="7E1DFCE9" w14:textId="77777777" w:rsidR="00E109AC" w:rsidRPr="0076294D" w:rsidRDefault="00E109AC" w:rsidP="00705945">
            <w:pPr>
              <w:jc w:val="both"/>
              <w:rPr>
                <w:rFonts w:ascii="Times New Roman" w:hAnsi="Times New Roman" w:cs="Times New Roman"/>
                <w:bCs/>
                <w:color w:val="000000"/>
              </w:rPr>
            </w:pPr>
            <w:r w:rsidRPr="0076294D">
              <w:rPr>
                <w:rFonts w:ascii="Times New Roman" w:hAnsi="Times New Roman" w:cs="Times New Roman"/>
                <w:bCs/>
                <w:color w:val="000000"/>
              </w:rPr>
              <w:t>and</w:t>
            </w:r>
          </w:p>
          <w:p w14:paraId="5F7C84A2" w14:textId="77777777" w:rsidR="00E109AC" w:rsidRPr="0076294D" w:rsidRDefault="00E109AC" w:rsidP="00705945">
            <w:pPr>
              <w:jc w:val="both"/>
              <w:rPr>
                <w:rFonts w:ascii="Times New Roman" w:hAnsi="Times New Roman" w:cs="Times New Roman"/>
                <w:bCs/>
                <w:color w:val="000000"/>
                <w:lang w:val="en-US"/>
              </w:rPr>
            </w:pPr>
            <w:r w:rsidRPr="00CE2AC3">
              <w:rPr>
                <w:rFonts w:ascii="Times New Roman" w:hAnsi="Times New Roman" w:cs="Times New Roman"/>
                <w:bCs/>
                <w:color w:val="000000"/>
              </w:rPr>
              <w:t xml:space="preserve">CHARITABLE </w:t>
            </w:r>
            <w:r w:rsidRPr="0076294D">
              <w:rPr>
                <w:rFonts w:ascii="Times New Roman" w:hAnsi="Times New Roman" w:cs="Times New Roman"/>
                <w:bCs/>
                <w:color w:val="000000"/>
              </w:rPr>
              <w:t>ORGANIZATION "CHARITY FOUNDATION "BRAVE", EDRPOU 44943474, entry number in the Unified State Register of Legal Entities, Individual Entrepreneurs and Public Organizations on Registration 1000741020000102704 dated 12/29/2022 (hereinafter</w:t>
            </w:r>
            <w:r w:rsidRPr="0076294D">
              <w:rPr>
                <w:rFonts w:ascii="Times New Roman" w:hAnsi="Times New Roman" w:cs="Times New Roman"/>
                <w:bCs/>
                <w:color w:val="000000"/>
                <w:lang w:val="en-US"/>
              </w:rPr>
              <w:t xml:space="preserve"> referred to as the Customer in this contract), in person and the Director of SELYK Vitaliy Hryhorovycha, acting on the basis of the Charter, on the other side , hereinafter collectively referred to as the "Parties", and each individually as a "Party", entered into this agreement on the following:</w:t>
            </w:r>
          </w:p>
          <w:p w14:paraId="46F91CC8"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1.</w:t>
            </w:r>
            <w:r w:rsidRPr="0076294D">
              <w:rPr>
                <w:rFonts w:ascii="Times New Roman" w:hAnsi="Times New Roman" w:cs="Times New Roman"/>
                <w:bCs/>
                <w:color w:val="000000"/>
                <w:lang w:val="en-US"/>
              </w:rPr>
              <w:tab/>
              <w:t>Subject of the Agreement</w:t>
            </w:r>
          </w:p>
          <w:p w14:paraId="5DD20E01" w14:textId="77777777" w:rsidR="00E109AC" w:rsidRDefault="00E109AC" w:rsidP="00705945">
            <w:pPr>
              <w:jc w:val="both"/>
              <w:rPr>
                <w:rFonts w:ascii="Times New Roman" w:hAnsi="Times New Roman" w:cs="Times New Roman"/>
                <w:bCs/>
                <w:color w:val="000000"/>
              </w:rPr>
            </w:pPr>
            <w:r w:rsidRPr="0076294D">
              <w:rPr>
                <w:rFonts w:ascii="Times New Roman" w:hAnsi="Times New Roman" w:cs="Times New Roman"/>
                <w:bCs/>
                <w:color w:val="000000"/>
                <w:lang w:val="en-US"/>
              </w:rPr>
              <w:t xml:space="preserve">1.1. Under this Agreement, the Contractor </w:t>
            </w:r>
            <w:r w:rsidRPr="0076294D">
              <w:rPr>
                <w:rFonts w:ascii="Times New Roman" w:hAnsi="Times New Roman" w:cs="Times New Roman"/>
                <w:bCs/>
                <w:color w:val="000000"/>
              </w:rPr>
              <w:t xml:space="preserve">undertakes to </w:t>
            </w:r>
            <w:proofErr w:type="gramStart"/>
            <w:r w:rsidRPr="0076294D">
              <w:rPr>
                <w:rFonts w:ascii="Times New Roman" w:hAnsi="Times New Roman" w:cs="Times New Roman"/>
                <w:bCs/>
                <w:color w:val="000000"/>
              </w:rPr>
              <w:t xml:space="preserve">provide </w:t>
            </w:r>
            <w:r>
              <w:rPr>
                <w:rFonts w:ascii="Times New Roman" w:hAnsi="Times New Roman" w:cs="Times New Roman"/>
                <w:bCs/>
                <w:color w:val="000000"/>
                <w:lang w:val="en-US"/>
              </w:rPr>
              <w:t xml:space="preserve"> </w:t>
            </w:r>
            <w:r w:rsidRPr="0076294D">
              <w:rPr>
                <w:rFonts w:ascii="Times New Roman" w:hAnsi="Times New Roman" w:cs="Times New Roman"/>
                <w:bCs/>
                <w:color w:val="000000"/>
              </w:rPr>
              <w:t>services</w:t>
            </w:r>
            <w:proofErr w:type="gramEnd"/>
            <w:r w:rsidRPr="0076294D">
              <w:rPr>
                <w:rFonts w:ascii="Times New Roman" w:hAnsi="Times New Roman" w:cs="Times New Roman"/>
                <w:bCs/>
                <w:color w:val="000000"/>
              </w:rPr>
              <w:t xml:space="preserve">: </w:t>
            </w:r>
          </w:p>
          <w:p w14:paraId="5E702509" w14:textId="77777777" w:rsidR="00E109AC" w:rsidRPr="00F9088D" w:rsidRDefault="00E109AC" w:rsidP="00705945">
            <w:pPr>
              <w:jc w:val="both"/>
              <w:rPr>
                <w:rFonts w:ascii="Times New Roman" w:hAnsi="Times New Roman" w:cs="Times New Roman"/>
                <w:bCs/>
                <w:color w:val="000000"/>
              </w:rPr>
            </w:pPr>
            <w:r w:rsidRPr="00F9088D">
              <w:rPr>
                <w:rFonts w:ascii="Times New Roman" w:hAnsi="Times New Roman" w:cs="Times New Roman"/>
                <w:bCs/>
                <w:color w:val="000000"/>
              </w:rPr>
              <w:t>Organization, coordination of contractors, local authorities, technical supervision services, subcontracting organizations for the performance of repair and finishing works.</w:t>
            </w:r>
          </w:p>
          <w:p w14:paraId="0F49C0F6" w14:textId="77777777" w:rsidR="00E109AC" w:rsidRPr="00F9088D" w:rsidRDefault="00E109AC" w:rsidP="00705945">
            <w:pPr>
              <w:jc w:val="both"/>
              <w:rPr>
                <w:rFonts w:ascii="Times New Roman" w:hAnsi="Times New Roman" w:cs="Times New Roman"/>
                <w:bCs/>
                <w:color w:val="000000"/>
              </w:rPr>
            </w:pPr>
            <w:r w:rsidRPr="00F9088D">
              <w:rPr>
                <w:rFonts w:ascii="Times New Roman" w:hAnsi="Times New Roman" w:cs="Times New Roman"/>
                <w:bCs/>
                <w:color w:val="000000"/>
              </w:rPr>
              <w:t>• Participation in drawing up the general schedule of works at the facility, its agreement with compatible performers, the customer.</w:t>
            </w:r>
          </w:p>
          <w:p w14:paraId="1B7C460E" w14:textId="77777777" w:rsidR="00E109AC" w:rsidRDefault="00E109AC" w:rsidP="00705945">
            <w:pPr>
              <w:jc w:val="both"/>
              <w:rPr>
                <w:rFonts w:ascii="Times New Roman" w:hAnsi="Times New Roman" w:cs="Times New Roman"/>
                <w:bCs/>
                <w:color w:val="000000"/>
              </w:rPr>
            </w:pPr>
            <w:r w:rsidRPr="00F9088D">
              <w:rPr>
                <w:rFonts w:ascii="Times New Roman" w:hAnsi="Times New Roman" w:cs="Times New Roman"/>
                <w:bCs/>
                <w:color w:val="000000"/>
              </w:rPr>
              <w:t>• Control of the terms of repair and finishing works in accordance with the approved schedule.</w:t>
            </w:r>
          </w:p>
          <w:p w14:paraId="099852C4" w14:textId="77777777" w:rsidR="00E109AC" w:rsidRPr="00F65E95" w:rsidRDefault="00E109AC" w:rsidP="00705945">
            <w:pPr>
              <w:jc w:val="both"/>
              <w:rPr>
                <w:rFonts w:ascii="Times New Roman" w:hAnsi="Times New Roman" w:cs="Times New Roman"/>
                <w:bCs/>
                <w:color w:val="000000"/>
              </w:rPr>
            </w:pPr>
            <w:r w:rsidRPr="00F65E95">
              <w:rPr>
                <w:rFonts w:ascii="Times New Roman" w:hAnsi="Times New Roman" w:cs="Times New Roman"/>
                <w:bCs/>
                <w:color w:val="000000"/>
              </w:rPr>
              <w:t>Control over compliance with the norms of repair and finishing works in accordance with the normative and legal framework in the field of construction, DBN, etc. documentation.</w:t>
            </w:r>
          </w:p>
          <w:p w14:paraId="33ABEE37" w14:textId="77777777" w:rsidR="00E109AC" w:rsidRPr="00F65E95" w:rsidRDefault="00E109AC" w:rsidP="00705945">
            <w:pPr>
              <w:jc w:val="both"/>
              <w:rPr>
                <w:rFonts w:ascii="Times New Roman" w:hAnsi="Times New Roman" w:cs="Times New Roman"/>
                <w:bCs/>
                <w:color w:val="000000"/>
              </w:rPr>
            </w:pPr>
            <w:r w:rsidRPr="00F65E95">
              <w:rPr>
                <w:rFonts w:ascii="Times New Roman" w:hAnsi="Times New Roman" w:cs="Times New Roman"/>
                <w:bCs/>
                <w:color w:val="000000"/>
              </w:rPr>
              <w:t>• Approving requests for materials and monitoring their implementation by relevant structural units.</w:t>
            </w:r>
          </w:p>
          <w:p w14:paraId="65DE729E" w14:textId="77777777" w:rsidR="00E109AC" w:rsidRDefault="00E109AC" w:rsidP="00705945">
            <w:pPr>
              <w:jc w:val="both"/>
              <w:rPr>
                <w:rFonts w:ascii="Times New Roman" w:hAnsi="Times New Roman" w:cs="Times New Roman"/>
                <w:bCs/>
                <w:color w:val="000000"/>
              </w:rPr>
            </w:pPr>
            <w:r w:rsidRPr="00F65E95">
              <w:rPr>
                <w:rFonts w:ascii="Times New Roman" w:hAnsi="Times New Roman" w:cs="Times New Roman"/>
                <w:bCs/>
                <w:color w:val="000000"/>
              </w:rPr>
              <w:t>• Interaction with all structural subdivisions of the fund, local authorities, contracting, subcontracting organizations and technical supervision services.</w:t>
            </w:r>
          </w:p>
          <w:p w14:paraId="21E011E9" w14:textId="77777777" w:rsidR="00E109AC" w:rsidRPr="00D66903" w:rsidRDefault="00E109AC" w:rsidP="00705945">
            <w:pPr>
              <w:jc w:val="both"/>
              <w:rPr>
                <w:rFonts w:ascii="Times New Roman" w:hAnsi="Times New Roman" w:cs="Times New Roman"/>
                <w:bCs/>
                <w:color w:val="000000"/>
              </w:rPr>
            </w:pPr>
            <w:r w:rsidRPr="00D66903">
              <w:rPr>
                <w:rFonts w:ascii="Times New Roman" w:hAnsi="Times New Roman" w:cs="Times New Roman"/>
                <w:bCs/>
                <w:color w:val="000000"/>
              </w:rPr>
              <w:t>• Verification and approval of the scope of work performed by subcontractors and contractors.</w:t>
            </w:r>
          </w:p>
          <w:p w14:paraId="2C1BCA73" w14:textId="77777777" w:rsidR="00E109AC" w:rsidRPr="00D66903" w:rsidRDefault="00E109AC" w:rsidP="00705945">
            <w:pPr>
              <w:jc w:val="both"/>
              <w:rPr>
                <w:rFonts w:ascii="Times New Roman" w:hAnsi="Times New Roman" w:cs="Times New Roman"/>
                <w:bCs/>
                <w:color w:val="000000"/>
              </w:rPr>
            </w:pPr>
            <w:r w:rsidRPr="00D66903">
              <w:rPr>
                <w:rFonts w:ascii="Times New Roman" w:hAnsi="Times New Roman" w:cs="Times New Roman"/>
                <w:bCs/>
                <w:color w:val="000000"/>
              </w:rPr>
              <w:t>• Conducting meetings with subcontracting organizations, contractors.</w:t>
            </w:r>
          </w:p>
          <w:p w14:paraId="41325719" w14:textId="77777777" w:rsidR="00E109AC" w:rsidRPr="00D66903" w:rsidRDefault="00E109AC" w:rsidP="00705945">
            <w:pPr>
              <w:jc w:val="both"/>
              <w:rPr>
                <w:rFonts w:ascii="Times New Roman" w:hAnsi="Times New Roman" w:cs="Times New Roman"/>
                <w:bCs/>
                <w:color w:val="000000"/>
              </w:rPr>
            </w:pPr>
            <w:r w:rsidRPr="00D66903">
              <w:rPr>
                <w:rFonts w:ascii="Times New Roman" w:hAnsi="Times New Roman" w:cs="Times New Roman"/>
                <w:bCs/>
                <w:color w:val="000000"/>
              </w:rPr>
              <w:t>• Participation in commissions for delivery of the object.</w:t>
            </w:r>
          </w:p>
          <w:p w14:paraId="43443233" w14:textId="77777777" w:rsidR="00E109AC" w:rsidRDefault="00E109AC" w:rsidP="00705945">
            <w:pPr>
              <w:jc w:val="both"/>
              <w:rPr>
                <w:rFonts w:ascii="Times New Roman" w:hAnsi="Times New Roman" w:cs="Times New Roman"/>
                <w:bCs/>
                <w:color w:val="000000"/>
              </w:rPr>
            </w:pPr>
            <w:r w:rsidRPr="00D66903">
              <w:rPr>
                <w:rFonts w:ascii="Times New Roman" w:hAnsi="Times New Roman" w:cs="Times New Roman"/>
                <w:bCs/>
                <w:color w:val="000000"/>
              </w:rPr>
              <w:t>• Control over the timely preparation by subcontracting organizations of executive documentation, acts of completed works and other documentation;</w:t>
            </w:r>
          </w:p>
          <w:p w14:paraId="2A469962" w14:textId="77777777" w:rsidR="00E109AC" w:rsidRDefault="00E109AC" w:rsidP="00705945">
            <w:pPr>
              <w:jc w:val="both"/>
              <w:rPr>
                <w:rFonts w:ascii="Times New Roman" w:hAnsi="Times New Roman" w:cs="Times New Roman"/>
                <w:bCs/>
                <w:color w:val="000000"/>
              </w:rPr>
            </w:pPr>
            <w:r w:rsidRPr="00A86002">
              <w:rPr>
                <w:rFonts w:ascii="Times New Roman" w:hAnsi="Times New Roman" w:cs="Times New Roman"/>
                <w:bCs/>
                <w:color w:val="000000"/>
              </w:rPr>
              <w:t xml:space="preserve">Other services within the scope of the Contractor's activities during the term of this Agreement, and </w:t>
            </w:r>
            <w:r w:rsidRPr="00A86002">
              <w:rPr>
                <w:rFonts w:ascii="Times New Roman" w:hAnsi="Times New Roman" w:cs="Times New Roman"/>
                <w:bCs/>
                <w:color w:val="000000"/>
              </w:rPr>
              <w:lastRenderedPageBreak/>
              <w:t>the Customer undertakes to accept the result of such services and pay the Contractor a fee in the manner and under the conditions specified in this Agreement.</w:t>
            </w:r>
          </w:p>
          <w:p w14:paraId="717709AF" w14:textId="77777777" w:rsidR="00E109AC" w:rsidRPr="0076294D" w:rsidRDefault="00E109AC" w:rsidP="00705945">
            <w:pPr>
              <w:jc w:val="both"/>
              <w:rPr>
                <w:rFonts w:ascii="Times New Roman" w:hAnsi="Times New Roman" w:cs="Times New Roman"/>
                <w:bCs/>
                <w:color w:val="000000"/>
              </w:rPr>
            </w:pPr>
            <w:r w:rsidRPr="0076294D">
              <w:rPr>
                <w:rFonts w:ascii="Times New Roman" w:hAnsi="Times New Roman" w:cs="Times New Roman"/>
                <w:bCs/>
                <w:color w:val="000000"/>
              </w:rPr>
              <w:t>1.2. The Customer engages the Contractor in connection with the implementation within its statutory activities of projects stipulated by Grant Agreement No. 81307244 within the framework of the project "Restoration of social infrastructure facilities in partner communities in 3 regions", financed by GIZ on the order of the Government of the Federal Republic of Germany .</w:t>
            </w:r>
          </w:p>
          <w:p w14:paraId="7EBB6A8B"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rPr>
              <w:t>2.</w:t>
            </w:r>
            <w:r w:rsidRPr="0076294D">
              <w:rPr>
                <w:rFonts w:ascii="Times New Roman" w:hAnsi="Times New Roman" w:cs="Times New Roman"/>
                <w:bCs/>
                <w:color w:val="000000"/>
              </w:rPr>
              <w:tab/>
              <w:t>Procedure for performing</w:t>
            </w:r>
            <w:r w:rsidRPr="0076294D">
              <w:rPr>
                <w:rFonts w:ascii="Times New Roman" w:hAnsi="Times New Roman" w:cs="Times New Roman"/>
                <w:bCs/>
                <w:color w:val="000000"/>
                <w:lang w:val="en-US"/>
              </w:rPr>
              <w:t xml:space="preserve"> works</w:t>
            </w:r>
          </w:p>
          <w:p w14:paraId="76F34CF4"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2.1. Services are provided at the request of the Customer, which can be made orally or in writing by the Customer's officials.</w:t>
            </w:r>
          </w:p>
          <w:p w14:paraId="6EDC3395" w14:textId="77777777" w:rsidR="00E109AC" w:rsidRPr="0076294D" w:rsidRDefault="00E109AC" w:rsidP="0070594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2.2. The results of the provision of services are recorded in Reports and Acts of completed works, which are provided by the Contractor to the Customer.</w:t>
            </w:r>
          </w:p>
          <w:p w14:paraId="10B3E094" w14:textId="77777777" w:rsidR="00E109AC" w:rsidRPr="00567F9B" w:rsidRDefault="00E109AC" w:rsidP="00705945">
            <w:pPr>
              <w:ind w:left="-1"/>
              <w:jc w:val="both"/>
              <w:textAlignment w:val="top"/>
              <w:outlineLvl w:val="0"/>
              <w:rPr>
                <w:rFonts w:ascii="Times New Roman" w:hAnsi="Times New Roman" w:cs="Times New Roman"/>
                <w:bCs/>
                <w:color w:val="000000"/>
                <w:lang w:val="en-US"/>
              </w:rPr>
            </w:pPr>
            <w:r w:rsidRPr="00567F9B">
              <w:rPr>
                <w:rFonts w:ascii="Times New Roman" w:hAnsi="Times New Roman" w:cs="Times New Roman"/>
                <w:bCs/>
                <w:color w:val="000000"/>
                <w:lang w:val="en-US"/>
              </w:rPr>
              <w:t>2.3.</w:t>
            </w:r>
            <w:r w:rsidRPr="00567F9B">
              <w:rPr>
                <w:rFonts w:ascii="Times New Roman" w:hAnsi="Times New Roman" w:cs="Times New Roman"/>
                <w:bCs/>
                <w:color w:val="000000"/>
                <w:lang w:val="en-US"/>
              </w:rPr>
              <w:tab/>
              <w:t>The deadline for the performance of services by the Contractor is determined in the corresponding order/task of the Customer.</w:t>
            </w:r>
          </w:p>
          <w:p w14:paraId="5FBB5492" w14:textId="77777777" w:rsidR="00E109AC" w:rsidRPr="00567F9B" w:rsidRDefault="00E109AC" w:rsidP="00705945">
            <w:pPr>
              <w:ind w:left="-1"/>
              <w:jc w:val="both"/>
              <w:textAlignment w:val="top"/>
              <w:outlineLvl w:val="0"/>
              <w:rPr>
                <w:rFonts w:ascii="Times New Roman" w:hAnsi="Times New Roman" w:cs="Times New Roman"/>
                <w:bCs/>
                <w:color w:val="000000"/>
                <w:lang w:val="en-US"/>
              </w:rPr>
            </w:pPr>
            <w:r w:rsidRPr="00567F9B">
              <w:rPr>
                <w:rFonts w:ascii="Times New Roman" w:hAnsi="Times New Roman" w:cs="Times New Roman"/>
                <w:bCs/>
                <w:color w:val="000000"/>
                <w:lang w:val="en-US"/>
              </w:rPr>
              <w:t>2.4.</w:t>
            </w:r>
            <w:r w:rsidRPr="00567F9B">
              <w:rPr>
                <w:rFonts w:ascii="Times New Roman" w:hAnsi="Times New Roman" w:cs="Times New Roman"/>
                <w:bCs/>
                <w:color w:val="000000"/>
                <w:lang w:val="en-US"/>
              </w:rPr>
              <w:tab/>
              <w:t xml:space="preserve">According to the results of the services provided, the parties sign the Act of completed works. The obligation to draw up the Act rests with the </w:t>
            </w:r>
            <w:r w:rsidRPr="0076294D">
              <w:rPr>
                <w:rFonts w:ascii="Times New Roman" w:hAnsi="Times New Roman" w:cs="Times New Roman"/>
                <w:bCs/>
                <w:color w:val="000000"/>
                <w:lang w:val="en-US"/>
              </w:rPr>
              <w:t>Contractor</w:t>
            </w:r>
            <w:r w:rsidRPr="00567F9B">
              <w:rPr>
                <w:rFonts w:ascii="Times New Roman" w:hAnsi="Times New Roman" w:cs="Times New Roman"/>
                <w:bCs/>
                <w:color w:val="000000"/>
                <w:lang w:val="en-US"/>
              </w:rPr>
              <w:t>.</w:t>
            </w:r>
          </w:p>
          <w:p w14:paraId="30A857D5" w14:textId="77777777" w:rsidR="00E109AC" w:rsidRPr="0076294D" w:rsidRDefault="00E109AC" w:rsidP="0070594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2.5. Upon receiving the Act of completed works from the Contractor, the Customer is obliged to sign such an Act and provide its signed copy to the Contractor, or provide comments to the Act, which are considered by the Contractor within 2 working days, and after providing the Contractor's explanations, the relevant Act is submitted again.</w:t>
            </w:r>
          </w:p>
          <w:p w14:paraId="453E4458"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14:paraId="00D0C621" w14:textId="77777777" w:rsidR="00E109AC" w:rsidRPr="0076294D" w:rsidRDefault="00E109AC" w:rsidP="0070594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2.7. The Contractor has the right at any time to refuse to provide services under this Agreement by informing the Customer about this in writing 10 (ten) working days before the scheduled date of termination of the Agreement.</w:t>
            </w:r>
          </w:p>
          <w:p w14:paraId="644D9184"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w:t>
            </w:r>
            <w:r w:rsidRPr="0076294D">
              <w:rPr>
                <w:rFonts w:ascii="Times New Roman" w:hAnsi="Times New Roman" w:cs="Times New Roman"/>
                <w:bCs/>
                <w:color w:val="000000"/>
                <w:lang w:val="en-US"/>
              </w:rPr>
              <w:tab/>
              <w:t>Obligations of the Parties</w:t>
            </w:r>
          </w:p>
          <w:p w14:paraId="0ED45145"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3.1. The </w:t>
            </w:r>
            <w:r w:rsidRPr="00CE54F0">
              <w:rPr>
                <w:rFonts w:ascii="Times New Roman" w:hAnsi="Times New Roman" w:cs="Times New Roman"/>
                <w:bCs/>
                <w:color w:val="000000"/>
                <w:lang w:val="en-US"/>
              </w:rPr>
              <w:t>С</w:t>
            </w:r>
            <w:r w:rsidRPr="0076294D">
              <w:rPr>
                <w:rFonts w:ascii="Times New Roman" w:hAnsi="Times New Roman" w:cs="Times New Roman"/>
                <w:bCs/>
                <w:color w:val="000000"/>
                <w:lang w:val="en-US"/>
              </w:rPr>
              <w:t>ustomer undertakes:</w:t>
            </w:r>
          </w:p>
          <w:p w14:paraId="023E7A9E"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lastRenderedPageBreak/>
              <w:t>3.1.1. provide the Contractor with the order for services specified in this contract in electronic form or by telephone;</w:t>
            </w:r>
          </w:p>
          <w:p w14:paraId="31F2BBDE"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3.1.2. to provide the Contractor with relevant reliable information and samples of standard documents used by the Customer (to comply with the uniform form of document templates);</w:t>
            </w:r>
          </w:p>
          <w:p w14:paraId="481DFD88"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3.1.3. to provide, as questions arise, the Contractor with information and materials necessary for the performance of this Agreement;</w:t>
            </w:r>
          </w:p>
          <w:p w14:paraId="419418A2"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3.1.4. within 2 (two) working days from the moment of receiving the Act of completed works from the Executor, sign and provide the Executor with his copy of the Act of completed works</w:t>
            </w:r>
            <w:r w:rsidRPr="00CE54F0">
              <w:rPr>
                <w:rFonts w:ascii="Times New Roman" w:hAnsi="Times New Roman" w:cs="Times New Roman"/>
                <w:bCs/>
                <w:color w:val="000000"/>
                <w:position w:val="-1"/>
                <w:lang w:val="en-US" w:eastAsia="zh-CN"/>
              </w:rPr>
              <w:t xml:space="preserve"> or submit comments to the </w:t>
            </w:r>
            <w:proofErr w:type="gramStart"/>
            <w:r w:rsidRPr="00CE54F0">
              <w:rPr>
                <w:rFonts w:ascii="Times New Roman" w:hAnsi="Times New Roman" w:cs="Times New Roman"/>
                <w:bCs/>
                <w:color w:val="000000"/>
                <w:position w:val="-1"/>
                <w:lang w:val="en-US" w:eastAsia="zh-CN"/>
              </w:rPr>
              <w:t>Act</w:t>
            </w:r>
            <w:r w:rsidRPr="00CE54F0">
              <w:rPr>
                <w:rFonts w:ascii="Times New Roman" w:hAnsi="Times New Roman" w:cs="Times New Roman"/>
                <w:bCs/>
                <w:color w:val="000000"/>
                <w:lang w:val="en-US"/>
              </w:rPr>
              <w:t xml:space="preserve"> </w:t>
            </w:r>
            <w:r w:rsidRPr="0076294D">
              <w:rPr>
                <w:rFonts w:ascii="Times New Roman" w:hAnsi="Times New Roman" w:cs="Times New Roman"/>
                <w:bCs/>
                <w:color w:val="000000"/>
                <w:lang w:val="en-US"/>
              </w:rPr>
              <w:t>;</w:t>
            </w:r>
            <w:proofErr w:type="gramEnd"/>
          </w:p>
          <w:p w14:paraId="6981CA9A"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3.1.5. to pay the remuneration in favor of the Contractor within the terms specified in this Agreement;</w:t>
            </w:r>
          </w:p>
          <w:p w14:paraId="33466849"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3.1.6. in the case of refusal to sign the Act of completed works without substantiating the reasons for such refusal — to pay remuneration to the Contractor in the amount determined by this Agreement, regardless of whether the Act of completed works is signed or not, if the work was actually performed by the Contractor;</w:t>
            </w:r>
          </w:p>
          <w:p w14:paraId="2F1B9967"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3.1.7. go through reconciliation of mutual settlements and sign the corresponding Act of reconciliation of mutual settlements, if the other party insists on it.</w:t>
            </w:r>
          </w:p>
          <w:p w14:paraId="50D8D8F0"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 The Contractor undertakes:</w:t>
            </w:r>
          </w:p>
          <w:p w14:paraId="2A0744D5"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3.2.1. to provide services of appropriate quality, in the scope and in the terms specified in this Agreement and the technical task;</w:t>
            </w:r>
          </w:p>
          <w:p w14:paraId="73E86A74"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3.2.2. when carrying out activities, do not go beyond the limits of this Agreement;</w:t>
            </w:r>
          </w:p>
          <w:p w14:paraId="3648E47E"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3.2.3. provide the Customer with a draft of the Act of completed works within the terms specified in this Agreement;</w:t>
            </w:r>
          </w:p>
          <w:p w14:paraId="25729575"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3.2.4. go through reconciliation of mutual settlements and sign the corresponding Act of reconciliation of mutual settlements, if the other party insists on it.</w:t>
            </w:r>
          </w:p>
          <w:p w14:paraId="37DC819F"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w:t>
            </w:r>
            <w:r w:rsidRPr="0076294D">
              <w:rPr>
                <w:rFonts w:ascii="Times New Roman" w:hAnsi="Times New Roman" w:cs="Times New Roman"/>
                <w:bCs/>
                <w:color w:val="000000"/>
                <w:lang w:val="en-US"/>
              </w:rPr>
              <w:tab/>
              <w:t>Cost of works, order of calculations</w:t>
            </w:r>
          </w:p>
          <w:p w14:paraId="21657B9E" w14:textId="77777777" w:rsidR="00E109AC" w:rsidRPr="0076294D" w:rsidRDefault="00E109AC" w:rsidP="00705945">
            <w:pPr>
              <w:jc w:val="both"/>
              <w:rPr>
                <w:rFonts w:ascii="Times New Roman" w:hAnsi="Times New Roman" w:cs="Times New Roman"/>
                <w:bCs/>
                <w:color w:val="000000"/>
              </w:rPr>
            </w:pPr>
            <w:r w:rsidRPr="0076294D">
              <w:rPr>
                <w:rFonts w:ascii="Times New Roman" w:hAnsi="Times New Roman" w:cs="Times New Roman"/>
                <w:bCs/>
                <w:color w:val="000000"/>
                <w:lang w:val="en-US"/>
              </w:rPr>
              <w:t>4.1. For the provision of services under this Agreement, the Customer shall pay the Contractor a fee, the amount of which is agreed upon by the Parties when placing the order, is fixed in the Contractor's account and noted in the Act of completed works, without VAT (the parties are not VAT payers).</w:t>
            </w:r>
            <w:r w:rsidRPr="0076294D">
              <w:rPr>
                <w:rFonts w:ascii="Times New Roman" w:hAnsi="Times New Roman" w:cs="Times New Roman"/>
                <w:bCs/>
                <w:color w:val="000000"/>
              </w:rPr>
              <w:t xml:space="preserve"> The total price of this Agreement cannot exceed an amount equivalent to </w:t>
            </w:r>
            <w:r>
              <w:rPr>
                <w:rFonts w:ascii="Times New Roman" w:hAnsi="Times New Roman" w:cs="Times New Roman"/>
                <w:bCs/>
                <w:color w:val="000000"/>
              </w:rPr>
              <w:t>________</w:t>
            </w:r>
            <w:r w:rsidRPr="0076294D">
              <w:rPr>
                <w:rFonts w:ascii="Times New Roman" w:hAnsi="Times New Roman" w:cs="Times New Roman"/>
                <w:bCs/>
                <w:color w:val="000000"/>
              </w:rPr>
              <w:t xml:space="preserve"> for the entire term of this Agreement.</w:t>
            </w:r>
          </w:p>
          <w:p w14:paraId="4D44217B"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The parties agreed that payment for the Contractor's services ends regardless of the number of hours of the Contractor's work spent by him for the provision of services, at the rate of UAH </w:t>
            </w:r>
            <w:r>
              <w:rPr>
                <w:rFonts w:ascii="Times New Roman" w:hAnsi="Times New Roman" w:cs="Times New Roman"/>
                <w:bCs/>
                <w:color w:val="000000"/>
              </w:rPr>
              <w:lastRenderedPageBreak/>
              <w:t>_______</w:t>
            </w:r>
            <w:r w:rsidRPr="0076294D">
              <w:rPr>
                <w:rFonts w:ascii="Times New Roman" w:hAnsi="Times New Roman" w:cs="Times New Roman"/>
                <w:bCs/>
                <w:color w:val="000000"/>
                <w:lang w:val="en-US"/>
              </w:rPr>
              <w:t>. for one hour of the Contractor's work. Accounting hours is done</w:t>
            </w:r>
            <w:r w:rsidRPr="0076294D">
              <w:rPr>
                <w:rFonts w:ascii="Times New Roman" w:hAnsi="Times New Roman" w:cs="Times New Roman"/>
                <w:bCs/>
                <w:color w:val="000000"/>
              </w:rPr>
              <w:t xml:space="preserve"> </w:t>
            </w:r>
            <w:r w:rsidRPr="0076294D">
              <w:rPr>
                <w:rFonts w:ascii="Times New Roman" w:hAnsi="Times New Roman" w:cs="Times New Roman"/>
                <w:bCs/>
                <w:color w:val="000000"/>
                <w:lang w:val="en-US"/>
              </w:rPr>
              <w:t>by the Contractor</w:t>
            </w:r>
            <w:r w:rsidRPr="0076294D">
              <w:rPr>
                <w:rFonts w:ascii="Times New Roman" w:hAnsi="Times New Roman" w:cs="Times New Roman"/>
                <w:bCs/>
                <w:color w:val="000000"/>
              </w:rPr>
              <w:t>.</w:t>
            </w:r>
          </w:p>
          <w:p w14:paraId="49C557A8"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4.2. Payment of remuneration to the Contractor shall be made by the Customer within </w:t>
            </w:r>
            <w:r w:rsidRPr="0076294D">
              <w:rPr>
                <w:rFonts w:ascii="Times New Roman" w:hAnsi="Times New Roman" w:cs="Times New Roman"/>
                <w:bCs/>
                <w:color w:val="000000"/>
              </w:rPr>
              <w:t>5</w:t>
            </w:r>
            <w:r w:rsidRPr="0076294D">
              <w:rPr>
                <w:rFonts w:ascii="Times New Roman" w:hAnsi="Times New Roman" w:cs="Times New Roman"/>
                <w:bCs/>
                <w:color w:val="000000"/>
                <w:lang w:val="en-US"/>
              </w:rPr>
              <w:t xml:space="preserve"> (five)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14:paraId="32C0980E"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4.3. Payment is made in hryvnia, the national currency of Ukraine, by transferring funds to the current account of the Contractor specified in this Agreement.</w:t>
            </w:r>
          </w:p>
          <w:p w14:paraId="21962AA1"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4.4. The date of payment is the date of funds being credited to the Contractor's current account, which is confirmed by the corresponding bank statement.</w:t>
            </w:r>
          </w:p>
          <w:p w14:paraId="18EE184A"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4.5. The amount calculated in accordance with this Agreement is the price of this Agreement and includes all taxes and fees determined by the legislation of Ukraine.</w:t>
            </w:r>
          </w:p>
          <w:p w14:paraId="01269266"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4.6. The parties agreed that the Executor, as a subject of entrepreneurial activity, independently pays taxes and fees determined by the current legislation of Ukraine.</w:t>
            </w:r>
          </w:p>
          <w:p w14:paraId="3FCAF96B"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w:t>
            </w:r>
            <w:r w:rsidRPr="0076294D">
              <w:rPr>
                <w:rFonts w:ascii="Times New Roman" w:hAnsi="Times New Roman" w:cs="Times New Roman"/>
                <w:bCs/>
                <w:color w:val="000000"/>
                <w:lang w:val="en-US"/>
              </w:rPr>
              <w:tab/>
              <w:t>Liability of the Parties</w:t>
            </w:r>
          </w:p>
          <w:p w14:paraId="68CF57B6"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5.1. The </w:t>
            </w:r>
            <w:r w:rsidRPr="0076294D">
              <w:rPr>
                <w:rFonts w:ascii="Times New Roman" w:hAnsi="Times New Roman" w:cs="Times New Roman"/>
                <w:bCs/>
                <w:color w:val="000000"/>
              </w:rPr>
              <w:t>С</w:t>
            </w:r>
            <w:r w:rsidRPr="0076294D">
              <w:rPr>
                <w:rFonts w:ascii="Times New Roman" w:hAnsi="Times New Roman" w:cs="Times New Roman"/>
                <w:bCs/>
                <w:color w:val="000000"/>
                <w:lang w:val="en-US"/>
              </w:rPr>
              <w:t>ontractor is responsible, provided for by the legislation of Ukraine, for the quality and timeliness of the provision of services, and for compliance with the written instructions of the Customer when performing works/providing services under this Agreement.</w:t>
            </w:r>
          </w:p>
          <w:p w14:paraId="7564BE40"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5.2. The Customer is responsible for late payment of the Contractor's services.</w:t>
            </w:r>
          </w:p>
          <w:p w14:paraId="34E394FD"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In case of delay in payment by more than 5 (five) working days, the Customer shall pay the Contractor a penalty in the amount of twice the NBU accounting rate of the overdue amount for each day of the delay.</w:t>
            </w:r>
          </w:p>
          <w:p w14:paraId="19D76B94"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5.3. The Parties shall bear responsibility for non-fulfillment, incomplete or improper fulfillment of their obligations under this Agreement in accordance with current legislation.</w:t>
            </w:r>
          </w:p>
          <w:p w14:paraId="7846D30C"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w:t>
            </w:r>
            <w:r w:rsidRPr="0076294D">
              <w:rPr>
                <w:rFonts w:ascii="Times New Roman" w:hAnsi="Times New Roman" w:cs="Times New Roman"/>
                <w:bCs/>
                <w:color w:val="000000"/>
                <w:lang w:val="en-US"/>
              </w:rPr>
              <w:tab/>
              <w:t>Force Majeure</w:t>
            </w:r>
          </w:p>
          <w:p w14:paraId="501B5BBC"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6.1. In the event of force majeure circumstances arising as a result of 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w:t>
            </w:r>
            <w:r w:rsidRPr="0076294D">
              <w:rPr>
                <w:rFonts w:ascii="Times New Roman" w:hAnsi="Times New Roman" w:cs="Times New Roman"/>
                <w:bCs/>
                <w:color w:val="000000"/>
                <w:lang w:val="en-US"/>
              </w:rPr>
              <w:lastRenderedPageBreak/>
              <w:t>obligations, which are postponed for the duration of force majeure.</w:t>
            </w:r>
          </w:p>
          <w:p w14:paraId="449B162F"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14:paraId="0CAEEF94"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14:paraId="2E29C6D3"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6.3. In the event that the circumstances of Force Majeure last for more than 1 (one) month, either Party has the right to terminate this Agreement by sending a written notice of termination to the other Party no later than 10 calendar days in advance.</w:t>
            </w:r>
          </w:p>
          <w:p w14:paraId="13BD6020" w14:textId="77777777" w:rsidR="00E109AC" w:rsidRPr="0076294D" w:rsidRDefault="00E109AC" w:rsidP="00705945">
            <w:pPr>
              <w:jc w:val="both"/>
              <w:rPr>
                <w:rFonts w:ascii="Times New Roman" w:hAnsi="Times New Roman" w:cs="Times New Roman"/>
                <w:bCs/>
                <w:color w:val="000000"/>
                <w:lang w:val="en-US"/>
              </w:rPr>
            </w:pPr>
          </w:p>
          <w:p w14:paraId="631D6C70"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w:t>
            </w:r>
            <w:r w:rsidRPr="0076294D">
              <w:rPr>
                <w:rFonts w:ascii="Times New Roman" w:hAnsi="Times New Roman" w:cs="Times New Roman"/>
                <w:bCs/>
                <w:color w:val="000000"/>
                <w:lang w:val="en-US"/>
              </w:rPr>
              <w:tab/>
              <w:t>Number of copies and term of validity of the Agreement</w:t>
            </w:r>
          </w:p>
          <w:p w14:paraId="7AD5E318"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7.1. This Agreement is drawn up in two copies, which have the same legal force, one for each of the Parties.</w:t>
            </w:r>
            <w:r w:rsidRPr="0076294D">
              <w:rPr>
                <w:rFonts w:ascii="Times New Roman" w:hAnsi="Times New Roman" w:cs="Times New Roman"/>
              </w:rPr>
              <w:t xml:space="preserve"> </w:t>
            </w:r>
            <w:r w:rsidRPr="0076294D">
              <w:rPr>
                <w:rFonts w:ascii="Times New Roman" w:hAnsi="Times New Roman" w:cs="Times New Roman"/>
                <w:bCs/>
                <w:color w:val="000000"/>
                <w:lang w:val="en-US"/>
              </w:rPr>
              <w:t>The Ukrainian version of the contract takes precedence.</w:t>
            </w:r>
          </w:p>
          <w:p w14:paraId="7A760AD3"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7.2. This Agreement enters into force from the moment of its signing and is valid until the parties fully fulfill their obligations under this Agreement. The parties have agreed that the term of this Agreement will expire </w:t>
            </w:r>
            <w:proofErr w:type="gramStart"/>
            <w:r w:rsidRPr="0076294D">
              <w:rPr>
                <w:rFonts w:ascii="Times New Roman" w:hAnsi="Times New Roman" w:cs="Times New Roman"/>
                <w:bCs/>
                <w:color w:val="000000"/>
                <w:lang w:val="en-US"/>
              </w:rPr>
              <w:t xml:space="preserve">on </w:t>
            </w:r>
            <w:r w:rsidRPr="0076294D">
              <w:rPr>
                <w:rFonts w:ascii="Times New Roman" w:hAnsi="Times New Roman" w:cs="Times New Roman"/>
                <w:bCs/>
                <w:color w:val="000000"/>
              </w:rPr>
              <w:t xml:space="preserve"> January</w:t>
            </w:r>
            <w:proofErr w:type="gramEnd"/>
            <w:r w:rsidRPr="0076294D">
              <w:rPr>
                <w:rFonts w:ascii="Times New Roman" w:hAnsi="Times New Roman" w:cs="Times New Roman"/>
                <w:bCs/>
                <w:color w:val="000000"/>
              </w:rPr>
              <w:t xml:space="preserve"> </w:t>
            </w:r>
            <w:r w:rsidRPr="0076294D">
              <w:rPr>
                <w:rFonts w:ascii="Times New Roman" w:hAnsi="Times New Roman" w:cs="Times New Roman"/>
                <w:bCs/>
                <w:color w:val="000000"/>
                <w:lang w:val="en-US"/>
              </w:rPr>
              <w:t>31, 202</w:t>
            </w:r>
            <w:r w:rsidRPr="0076294D">
              <w:rPr>
                <w:rFonts w:ascii="Times New Roman" w:hAnsi="Times New Roman" w:cs="Times New Roman"/>
                <w:bCs/>
                <w:color w:val="000000"/>
              </w:rPr>
              <w:t>5</w:t>
            </w:r>
            <w:r w:rsidRPr="0076294D">
              <w:rPr>
                <w:rFonts w:ascii="Times New Roman" w:hAnsi="Times New Roman" w:cs="Times New Roman"/>
                <w:bCs/>
                <w:color w:val="000000"/>
                <w:lang w:val="en-US"/>
              </w:rPr>
              <w:t>, subject to the proper performance by the parties of their obligations under this Agreement.</w:t>
            </w:r>
          </w:p>
          <w:p w14:paraId="1D8A2B47"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14:paraId="58AB088D"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7.4. All notices shall be sent in writing to known addresses of the parties specified in this Agreement.</w:t>
            </w:r>
          </w:p>
          <w:p w14:paraId="3473E72F"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w:t>
            </w:r>
            <w:r w:rsidRPr="0076294D">
              <w:rPr>
                <w:rFonts w:ascii="Times New Roman" w:hAnsi="Times New Roman" w:cs="Times New Roman"/>
                <w:bCs/>
                <w:color w:val="000000"/>
                <w:lang w:val="en-US"/>
              </w:rPr>
              <w:tab/>
              <w:t>Other conditions</w:t>
            </w:r>
          </w:p>
          <w:p w14:paraId="5D78C75F"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8.1. Official mutual appeals of the Parties shall be made in writing and shall be carried out in the usual </w:t>
            </w:r>
            <w:r w:rsidRPr="0076294D">
              <w:rPr>
                <w:rFonts w:ascii="Times New Roman" w:hAnsi="Times New Roman" w:cs="Times New Roman"/>
                <w:bCs/>
                <w:color w:val="000000"/>
                <w:lang w:val="en-US"/>
              </w:rPr>
              <w:lastRenderedPageBreak/>
              <w:t>manner in compliance with the established practice of record keeping. The parties undertake to consider mutual appeals within 1 (one) day from the moment of their receipt.</w:t>
            </w:r>
          </w:p>
          <w:p w14:paraId="7D85646B"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8.2. All changes and additions to this Agreement are drawn up by the Parties in the form of additional agreements, which from the moment of their signing are an integral part of this Agreement.</w:t>
            </w:r>
          </w:p>
          <w:p w14:paraId="016A6612"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8.3. Any changes and additions to this Agreement, which are an integral part thereof, will be effective if they are made in writing and signed by the Parties.</w:t>
            </w:r>
          </w:p>
          <w:p w14:paraId="69DA6421"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8.4. All disputes and disagreements that may arise during the execution of this Agreement, the Parties try to resolve through negotiations. In case of failure to reach an agreement, disputes are resolved in a court of law using the law of Ukraine.</w:t>
            </w:r>
          </w:p>
          <w:p w14:paraId="7A402A8A"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8.5. The executor is a </w:t>
            </w:r>
            <w:r>
              <w:rPr>
                <w:rFonts w:ascii="Times New Roman" w:hAnsi="Times New Roman" w:cs="Times New Roman"/>
                <w:bCs/>
                <w:color w:val="000000"/>
              </w:rPr>
              <w:t>__________________</w:t>
            </w:r>
            <w:r w:rsidRPr="0076294D">
              <w:rPr>
                <w:rFonts w:ascii="Times New Roman" w:hAnsi="Times New Roman" w:cs="Times New Roman"/>
                <w:bCs/>
                <w:color w:val="000000"/>
                <w:lang w:val="en-US"/>
              </w:rPr>
              <w:t>.</w:t>
            </w:r>
          </w:p>
          <w:p w14:paraId="0AACF2A9"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8.6. By signing this Agreement, the parties grant each other the right to use personal data of individuals, in compliance with the current legislation of Ukraine regarding the collection, processing and use of personal data.</w:t>
            </w:r>
          </w:p>
          <w:p w14:paraId="27E6010E"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8.7. Document circulation between the Parties (including, but not limited to, the signing and exchange of acts, invoices, letters, etc.) may be carried out in the form of electronic documents using electronic document circulation platforms agreed by the parties.</w:t>
            </w:r>
          </w:p>
          <w:p w14:paraId="3DC350C0"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14:paraId="08FDA75A"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Electronic signatures of authorized persons (KEP);</w:t>
            </w:r>
          </w:p>
          <w:p w14:paraId="0609D3C2"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Handwritten signatures of authorized persons of the Parties on paper carriers of documents</w:t>
            </w:r>
          </w:p>
          <w:p w14:paraId="420D6576"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8.9. The date of signing an electronic document does not affect the date of its drawing up, and the date of drawing up the document is decisive.</w:t>
            </w:r>
          </w:p>
          <w:p w14:paraId="16FA2B3F" w14:textId="77777777" w:rsidR="00E109AC" w:rsidRPr="0076294D" w:rsidRDefault="00E109AC" w:rsidP="0070594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8.10. The parties agreed that in the event of a dispute between the paper and electronic versions of the documents, paper documents signed by the parties shall prevail.</w:t>
            </w:r>
          </w:p>
          <w:p w14:paraId="10DBA818"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9.</w:t>
            </w:r>
            <w:r w:rsidRPr="0076294D">
              <w:rPr>
                <w:rFonts w:ascii="Times New Roman" w:hAnsi="Times New Roman" w:cs="Times New Roman"/>
                <w:bCs/>
                <w:color w:val="000000"/>
                <w:lang w:val="en-US"/>
              </w:rPr>
              <w:tab/>
              <w:t>Details of the parties:</w:t>
            </w:r>
          </w:p>
          <w:p w14:paraId="55CC4D00"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Customer:</w:t>
            </w:r>
          </w:p>
          <w:p w14:paraId="19B2E041"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CHARIT</w:t>
            </w:r>
            <w:r>
              <w:rPr>
                <w:rFonts w:ascii="Times New Roman" w:hAnsi="Times New Roman" w:cs="Times New Roman"/>
                <w:bCs/>
                <w:color w:val="000000"/>
                <w:lang w:val="en-US"/>
              </w:rPr>
              <w:t>ABLE</w:t>
            </w:r>
            <w:r w:rsidRPr="0076294D">
              <w:rPr>
                <w:rFonts w:ascii="Times New Roman" w:hAnsi="Times New Roman" w:cs="Times New Roman"/>
                <w:bCs/>
                <w:color w:val="000000"/>
                <w:lang w:val="en-US"/>
              </w:rPr>
              <w:t xml:space="preserve"> ORGANIZATION "CHARITY FUND "</w:t>
            </w:r>
            <w:r w:rsidRPr="0076294D">
              <w:rPr>
                <w:rFonts w:ascii="Times New Roman" w:hAnsi="Times New Roman" w:cs="Times New Roman"/>
              </w:rPr>
              <w:t xml:space="preserve"> </w:t>
            </w:r>
            <w:r w:rsidRPr="0076294D">
              <w:rPr>
                <w:rFonts w:ascii="Times New Roman" w:hAnsi="Times New Roman" w:cs="Times New Roman"/>
                <w:bCs/>
                <w:color w:val="000000"/>
                <w:lang w:val="en-US"/>
              </w:rPr>
              <w:t>BRAVE "</w:t>
            </w:r>
          </w:p>
          <w:p w14:paraId="7E51DCA0"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EDRPOU 44943474</w:t>
            </w:r>
          </w:p>
          <w:p w14:paraId="2589DD1D" w14:textId="77777777" w:rsidR="00E109AC" w:rsidRPr="0076294D" w:rsidRDefault="00E109AC" w:rsidP="00705945">
            <w:pPr>
              <w:rPr>
                <w:rFonts w:ascii="Times New Roman" w:hAnsi="Times New Roman" w:cs="Times New Roman"/>
                <w:lang w:eastAsia="ru-RU"/>
              </w:rPr>
            </w:pPr>
            <w:r w:rsidRPr="0076294D">
              <w:rPr>
                <w:rFonts w:ascii="Times New Roman" w:hAnsi="Times New Roman" w:cs="Times New Roman"/>
                <w:lang w:eastAsia="ru-RU"/>
              </w:rPr>
              <w:t>COMMERCIAL BANK "PRIVATBANK"</w:t>
            </w:r>
          </w:p>
          <w:p w14:paraId="34F46618" w14:textId="77777777" w:rsidR="00E109AC" w:rsidRPr="0076294D" w:rsidRDefault="00E109AC" w:rsidP="00705945">
            <w:pPr>
              <w:rPr>
                <w:rFonts w:ascii="Times New Roman" w:hAnsi="Times New Roman" w:cs="Times New Roman"/>
                <w:bCs/>
                <w:color w:val="000000"/>
              </w:rPr>
            </w:pPr>
            <w:r w:rsidRPr="00CB7B46">
              <w:rPr>
                <w:rFonts w:ascii="Times New Roman" w:hAnsi="Times New Roman" w:cs="Times New Roman"/>
                <w:bCs/>
              </w:rPr>
              <w:t>IBAN UA</w:t>
            </w:r>
            <w:r w:rsidRPr="00CB7B46">
              <w:rPr>
                <w:rFonts w:ascii="Times New Roman" w:hAnsi="Times New Roman" w:cs="Times New Roman"/>
                <w:bCs/>
                <w:color w:val="000000"/>
              </w:rPr>
              <w:t xml:space="preserve">103052990000026003005027044   </w:t>
            </w:r>
            <w:r w:rsidRPr="00CB7B46">
              <w:rPr>
                <w:rFonts w:ascii="Times New Roman" w:hAnsi="Times New Roman" w:cs="Times New Roman"/>
                <w:bCs/>
                <w:color w:val="000000"/>
                <w:lang w:val="en-US"/>
              </w:rPr>
              <w:t>MFO 30</w:t>
            </w:r>
            <w:r w:rsidRPr="00CB7B46">
              <w:rPr>
                <w:rFonts w:ascii="Times New Roman" w:hAnsi="Times New Roman" w:cs="Times New Roman"/>
                <w:bCs/>
                <w:color w:val="000000"/>
              </w:rPr>
              <w:t>5299</w:t>
            </w:r>
          </w:p>
          <w:p w14:paraId="1EFD8847"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EDRPOU of the bank </w:t>
            </w:r>
            <w:r w:rsidRPr="0076294D">
              <w:rPr>
                <w:rFonts w:ascii="Times New Roman" w:hAnsi="Times New Roman" w:cs="Times New Roman"/>
                <w:lang w:eastAsia="ru-RU"/>
              </w:rPr>
              <w:t>14360570</w:t>
            </w:r>
          </w:p>
          <w:p w14:paraId="7F61D24C"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Address: Ukraine, 01135, Kyiv</w:t>
            </w:r>
          </w:p>
          <w:p w14:paraId="66CDAAE3"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lastRenderedPageBreak/>
              <w:t>St. Pestelya Pavla, building 7,</w:t>
            </w:r>
          </w:p>
          <w:p w14:paraId="7B21BB46"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telephone +380677757399</w:t>
            </w:r>
          </w:p>
          <w:p w14:paraId="581A7373"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lang w:val="en-US"/>
              </w:rPr>
              <w:t>E-mail address:</w:t>
            </w:r>
            <w:r w:rsidRPr="0076294D">
              <w:rPr>
                <w:rFonts w:ascii="Times New Roman" w:hAnsi="Times New Roman" w:cs="Times New Roman"/>
                <w:bCs/>
                <w:color w:val="000000"/>
              </w:rPr>
              <w:t xml:space="preserve"> selyk@brave.org.ua</w:t>
            </w:r>
          </w:p>
          <w:p w14:paraId="09CBE8E9"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Director</w:t>
            </w:r>
          </w:p>
          <w:p w14:paraId="6EB2D5DC" w14:textId="77777777" w:rsidR="00E109AC" w:rsidRPr="0076294D" w:rsidRDefault="00E109AC" w:rsidP="00705945">
            <w:pPr>
              <w:rPr>
                <w:rFonts w:ascii="Times New Roman" w:hAnsi="Times New Roman" w:cs="Times New Roman"/>
                <w:bCs/>
                <w:color w:val="000000"/>
                <w:lang w:val="en-US"/>
              </w:rPr>
            </w:pPr>
          </w:p>
          <w:p w14:paraId="5DC340FF" w14:textId="77777777" w:rsidR="00E109AC" w:rsidRPr="0076294D" w:rsidRDefault="00E109AC" w:rsidP="00705945">
            <w:pPr>
              <w:rPr>
                <w:rFonts w:ascii="Times New Roman" w:hAnsi="Times New Roman" w:cs="Times New Roman"/>
                <w:bCs/>
                <w:color w:val="000000"/>
                <w:lang w:val="en-US"/>
              </w:rPr>
            </w:pPr>
            <w:r w:rsidRPr="0076294D">
              <w:rPr>
                <w:rFonts w:ascii="Times New Roman" w:hAnsi="Times New Roman" w:cs="Times New Roman"/>
                <w:bCs/>
                <w:color w:val="000000"/>
                <w:lang w:val="en-US"/>
              </w:rPr>
              <w:t>___________________ SELYK Vitaly</w:t>
            </w:r>
          </w:p>
          <w:p w14:paraId="26A15C04" w14:textId="77777777" w:rsidR="00E109AC" w:rsidRPr="0076294D" w:rsidRDefault="00E109AC" w:rsidP="00705945">
            <w:pPr>
              <w:rPr>
                <w:rFonts w:ascii="Times New Roman" w:hAnsi="Times New Roman" w:cs="Times New Roman"/>
                <w:bCs/>
                <w:color w:val="000000"/>
              </w:rPr>
            </w:pPr>
            <w:r w:rsidRPr="0076294D">
              <w:rPr>
                <w:rFonts w:ascii="Times New Roman" w:hAnsi="Times New Roman" w:cs="Times New Roman"/>
                <w:bCs/>
                <w:color w:val="000000"/>
              </w:rPr>
              <w:t>Contractor:</w:t>
            </w:r>
          </w:p>
          <w:p w14:paraId="1753D614" w14:textId="77777777" w:rsidR="00E109AC" w:rsidRPr="00567F9B" w:rsidRDefault="00E109AC" w:rsidP="00705945">
            <w:pPr>
              <w:rPr>
                <w:rFonts w:ascii="Times New Roman" w:hAnsi="Times New Roman" w:cs="Times New Roman"/>
                <w:bCs/>
                <w:color w:val="000000"/>
              </w:rPr>
            </w:pPr>
          </w:p>
        </w:tc>
      </w:tr>
    </w:tbl>
    <w:p w14:paraId="0CCC67FE" w14:textId="77777777" w:rsidR="00CF5A7F" w:rsidRPr="00090536" w:rsidRDefault="00CF5A7F" w:rsidP="00CF5A7F">
      <w:pPr>
        <w:widowControl w:val="0"/>
        <w:spacing w:after="0" w:line="240" w:lineRule="auto"/>
        <w:jc w:val="both"/>
        <w:outlineLvl w:val="2"/>
        <w:rPr>
          <w:rFonts w:ascii="Times New Roman" w:hAnsi="Times New Roman" w:cs="Times New Roman"/>
          <w:b/>
          <w:sz w:val="24"/>
          <w:szCs w:val="24"/>
          <w:lang w:eastAsia="uk-UA"/>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0C36E" w14:textId="77777777" w:rsidR="00CB1624" w:rsidRDefault="00CB1624">
      <w:pPr>
        <w:spacing w:after="0" w:line="240" w:lineRule="auto"/>
      </w:pPr>
      <w:r>
        <w:separator/>
      </w:r>
    </w:p>
  </w:endnote>
  <w:endnote w:type="continuationSeparator" w:id="0">
    <w:p w14:paraId="3BF1DD2A" w14:textId="77777777" w:rsidR="00CB1624" w:rsidRDefault="00CB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705945" w:rsidRDefault="00705945">
        <w:pPr>
          <w:pStyle w:val="ac"/>
          <w:jc w:val="right"/>
        </w:pPr>
        <w:r>
          <w:fldChar w:fldCharType="begin"/>
        </w:r>
        <w:r>
          <w:instrText>PAGE   \* MERGEFORMAT</w:instrText>
        </w:r>
        <w:r>
          <w:fldChar w:fldCharType="separate"/>
        </w:r>
        <w:r>
          <w:t>2</w:t>
        </w:r>
        <w:r>
          <w:fldChar w:fldCharType="end"/>
        </w:r>
      </w:p>
    </w:sdtContent>
  </w:sdt>
  <w:p w14:paraId="0BD66973" w14:textId="5C3E39DA" w:rsidR="00705945" w:rsidRDefault="00705945">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EF37B" w14:textId="77777777" w:rsidR="00CB1624" w:rsidRDefault="00CB1624">
      <w:pPr>
        <w:spacing w:after="0" w:line="240" w:lineRule="auto"/>
      </w:pPr>
      <w:r>
        <w:separator/>
      </w:r>
    </w:p>
  </w:footnote>
  <w:footnote w:type="continuationSeparator" w:id="0">
    <w:p w14:paraId="6A9AFB7E" w14:textId="77777777" w:rsidR="00CB1624" w:rsidRDefault="00CB1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3"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3"/>
  </w:num>
  <w:num w:numId="4">
    <w:abstractNumId w:val="5"/>
    <w:lvlOverride w:ilvl="0">
      <w:lvl w:ilvl="0">
        <w:numFmt w:val="decimal"/>
        <w:lvlText w:val="%1."/>
        <w:lvlJc w:val="left"/>
      </w:lvl>
    </w:lvlOverride>
  </w:num>
  <w:num w:numId="5">
    <w:abstractNumId w:val="8"/>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9"/>
  </w:num>
  <w:num w:numId="12">
    <w:abstractNumId w:val="10"/>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4"/>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E602F"/>
    <w:rsid w:val="001B61F5"/>
    <w:rsid w:val="001D26A9"/>
    <w:rsid w:val="001E6132"/>
    <w:rsid w:val="001F5726"/>
    <w:rsid w:val="002553B0"/>
    <w:rsid w:val="002554D5"/>
    <w:rsid w:val="002F47CF"/>
    <w:rsid w:val="00345619"/>
    <w:rsid w:val="003F45A6"/>
    <w:rsid w:val="004C2939"/>
    <w:rsid w:val="004D0588"/>
    <w:rsid w:val="004E1803"/>
    <w:rsid w:val="00503C6F"/>
    <w:rsid w:val="00540F2C"/>
    <w:rsid w:val="0055131E"/>
    <w:rsid w:val="005C316B"/>
    <w:rsid w:val="005E1B19"/>
    <w:rsid w:val="0063720E"/>
    <w:rsid w:val="00687945"/>
    <w:rsid w:val="006A07AF"/>
    <w:rsid w:val="006C7C3F"/>
    <w:rsid w:val="006E0632"/>
    <w:rsid w:val="00705945"/>
    <w:rsid w:val="00775078"/>
    <w:rsid w:val="007C0E9B"/>
    <w:rsid w:val="0086550C"/>
    <w:rsid w:val="008B07EB"/>
    <w:rsid w:val="00904FFC"/>
    <w:rsid w:val="00907991"/>
    <w:rsid w:val="00911F8D"/>
    <w:rsid w:val="00982C73"/>
    <w:rsid w:val="00A237B5"/>
    <w:rsid w:val="00A557E1"/>
    <w:rsid w:val="00A57EE8"/>
    <w:rsid w:val="00AA34F7"/>
    <w:rsid w:val="00B10B40"/>
    <w:rsid w:val="00B332DE"/>
    <w:rsid w:val="00B47812"/>
    <w:rsid w:val="00B67367"/>
    <w:rsid w:val="00BA0267"/>
    <w:rsid w:val="00C97CDF"/>
    <w:rsid w:val="00CA4AC2"/>
    <w:rsid w:val="00CB1624"/>
    <w:rsid w:val="00CF374F"/>
    <w:rsid w:val="00CF5A7F"/>
    <w:rsid w:val="00D263EF"/>
    <w:rsid w:val="00D82420"/>
    <w:rsid w:val="00D82450"/>
    <w:rsid w:val="00D9026D"/>
    <w:rsid w:val="00E102B2"/>
    <w:rsid w:val="00E109AC"/>
    <w:rsid w:val="00E14227"/>
    <w:rsid w:val="00E2584B"/>
    <w:rsid w:val="00F03485"/>
    <w:rsid w:val="00F472C2"/>
    <w:rsid w:val="00F83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0DA1-0E7B-4FF8-AC5B-7CD14AC4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27</Pages>
  <Words>43502</Words>
  <Characters>24797</Characters>
  <Application>Microsoft Office Word</Application>
  <DocSecurity>0</DocSecurity>
  <Lines>206</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24</cp:revision>
  <cp:lastPrinted>2024-10-08T09:18:00Z</cp:lastPrinted>
  <dcterms:created xsi:type="dcterms:W3CDTF">2024-07-05T07:45:00Z</dcterms:created>
  <dcterms:modified xsi:type="dcterms:W3CDTF">2025-01-08T09:48:00Z</dcterms:modified>
</cp:coreProperties>
</file>