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9B" w:rsidRDefault="00687E9B" w:rsidP="00687E9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2 до наказу </w:t>
      </w:r>
    </w:p>
    <w:p w:rsidR="00687E9B" w:rsidRPr="00722E93" w:rsidRDefault="00687E9B" w:rsidP="00687E9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закладу освіти</w:t>
      </w:r>
    </w:p>
    <w:p w:rsidR="00687E9B" w:rsidRPr="00F21356" w:rsidRDefault="00687E9B" w:rsidP="00687E9B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Pr="00F21356">
        <w:rPr>
          <w:rFonts w:ascii="Times New Roman" w:eastAsia="Times New Roman" w:hAnsi="Times New Roman" w:cs="Times New Roman"/>
          <w:sz w:val="24"/>
          <w:szCs w:val="24"/>
          <w:lang w:eastAsia="uk-UA"/>
        </w:rPr>
        <w:t>17.12.2025 № 232</w:t>
      </w:r>
    </w:p>
    <w:p w:rsidR="00687E9B" w:rsidRPr="00722E93" w:rsidRDefault="00687E9B" w:rsidP="00687E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E9B" w:rsidRPr="00722E93" w:rsidRDefault="00687E9B" w:rsidP="00687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Порядок реагування на випадки </w:t>
      </w:r>
    </w:p>
    <w:p w:rsidR="00687E9B" w:rsidRDefault="00687E9B" w:rsidP="00687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насильства та жорстокого поводження </w:t>
      </w:r>
    </w:p>
    <w:p w:rsidR="00687E9B" w:rsidRPr="00722E93" w:rsidRDefault="00687E9B" w:rsidP="00687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Мукачівсь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кій ЗОШ І-ІІІ ступенів №2 ім. Т.Г. Шевченка</w:t>
      </w:r>
    </w:p>
    <w:p w:rsidR="00687E9B" w:rsidRPr="00722E93" w:rsidRDefault="00687E9B" w:rsidP="00687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7E9B" w:rsidRPr="00722E93" w:rsidRDefault="00687E9B" w:rsidP="00687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Цей Порядок реагування на випадки насиль</w:t>
      </w:r>
      <w:bookmarkStart w:id="0" w:name="_GoBack"/>
      <w:bookmarkEnd w:id="0"/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ства та жорстокого поводження з дітьми (далі – Порядок)  визначає механізм реагування на випадки насильства та жорстокого поводження з дітьми в Мукачівському ліцеї №5, які сталися у приміщенні, на території закладу освіти або під час заходів поза його межами, організатором (співорганізатором) яких є заклад. 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У цьому Порядку терміни вживаються у значенні, наведеному у </w:t>
      </w:r>
      <w:hyperlink r:id="rId6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Сімейному кодексі України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7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Кримінальному кодексі України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8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Кодексі України про адміні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с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тративні правопорушення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Законах України </w:t>
      </w:r>
      <w:hyperlink r:id="rId9" w:history="1">
        <w:r w:rsidRPr="006E106A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охорону дитинства</w:t>
        </w:r>
      </w:hyperlink>
      <w:r w:rsidRPr="006E106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запобігання та протидію домашньому насильству</w:t>
        </w:r>
      </w:hyperlink>
      <w:r w:rsidRPr="006E106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інших нормативно-правових актах.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Працівники закладу у разі виявлення ознак насильства або жорстокого пов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 зобов’язані:</w:t>
      </w:r>
    </w:p>
    <w:p w:rsidR="00687E9B" w:rsidRPr="00722E93" w:rsidRDefault="00687E9B" w:rsidP="00687E9B">
      <w:pPr>
        <w:numPr>
          <w:ilvl w:val="0"/>
          <w:numId w:val="1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вжити невідкладних заходів для припинення насильства або жорстокого поводження з нею;</w:t>
      </w:r>
    </w:p>
    <w:p w:rsidR="00687E9B" w:rsidRPr="00722E93" w:rsidRDefault="00687E9B" w:rsidP="00687E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потреби надати домедичну допомогу, викликати бригаду екстреної (швидкої) медичної допомоги для надання дитині екстреної медичної 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помоги;</w:t>
      </w:r>
    </w:p>
    <w:p w:rsidR="00687E9B" w:rsidRPr="00722E93" w:rsidRDefault="00687E9B" w:rsidP="00687E9B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невідкладно звернутися до органів Національної поліції, повідомити кер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внику закладу освіти, батькам або іншим законним представникам дит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 (в письмовій формі, зокрема за допомогою електронної комунікації), крім випадків, коли керівник закладу, батьки або інші законні предста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ники є кривдниками дитини.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Керівник закладу освіти: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заходи, визначені цим Порядком та Положенням про запобіга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та протидію насильству та жорстокому поводженню з дітьми в Мук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чівській ЗОШ І-ІІІ ступенів №2 ім. Т.Г. Шевченка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затвердженим наказом від </w:t>
      </w:r>
      <w:r w:rsidRPr="00F21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01.08.2025 №125 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розробленим  відповідно до </w:t>
      </w:r>
      <w:hyperlink r:id="rId11" w:anchor="n9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Типової програми унеможливлення насильства та жорстокого поводження з дітьми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затве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дженої постановою Кабінету Міністрів України від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2025 р. 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658;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оприлюднення Порядку, обов’язкове ознайомлення з ним пр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цівників та здійснює контроль за його виконанням;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погодженням із Службою у справах дітей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Мукачівської міської ради (далі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-ССД) формує склад комісії з розгляду випадків насильства та/або 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жорстокого поводження з дітьми (далі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комісія), організовує її роботу, оприлюднює інформацію про склад комісії;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інформування працівників заклад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стреної допомоги у зв’язку із загрозою внаслідок насильства її життю та здоров’ю;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розглядає усні та письмові заяви (скарги, повідомлення) про випадки 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сильства та жорстокого поводження з дітьми, які сталися у приміщенні, на території закладу освіти або під час заходів поза його межами, орган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затором (співорганізатором) яких є заклад (далі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повідомлення), прот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гом однієї доби з дня надходження, забезпечує опрацювання комісією отриманих повідомлень;</w:t>
      </w:r>
    </w:p>
    <w:p w:rsidR="00687E9B" w:rsidRPr="00722E93" w:rsidRDefault="00687E9B" w:rsidP="00687E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сторони насильства та/або жорстокого поводження з дитиною), відповідної програми для таких осіб.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У разі виявлення ознак насильства та жорстокого поводження з дитиною 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рівник закладу:</w:t>
      </w:r>
    </w:p>
    <w:p w:rsidR="00687E9B" w:rsidRPr="00722E93" w:rsidRDefault="00687E9B" w:rsidP="00687E9B">
      <w:pPr>
        <w:numPr>
          <w:ilvl w:val="0"/>
          <w:numId w:val="3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невідкладно, у строк, що не перевищує трьох годин, повідомляє про виявлення ознак насильства та жорстокого поводження з дитиною (в пис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ному підрозділу органу Національної поліції та ССД з одночасним інф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рмуванням про це територіального органу Нацсоцслужби, Державної служби у справах дітей;</w:t>
      </w:r>
    </w:p>
    <w:p w:rsidR="00687E9B" w:rsidRPr="00722E93" w:rsidRDefault="00687E9B" w:rsidP="00687E9B">
      <w:pPr>
        <w:numPr>
          <w:ilvl w:val="0"/>
          <w:numId w:val="3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скликає засідання комісії не пізніше ніж протягом трьох робочих днів з дня отримання повідомлення.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випадку виявлення насильства та/або жорстокого поводження з дитиною з боку керівника закладу освіти працівники, батьки, інші законні представники дитини або свідки цього випадку повинні повідомити Управління освіти, кул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тури, молоді та спорту Мукачівської міської ради.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освіти, культури, молоді та спорту Мукачівської міської ради у разі надходження повідомлення стосовно керівника закладу освіти забезпечує вик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нання завдань і функцій, передбачених абзацом другим-четвертим цього пун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ту.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 разі відсутності керівника закладу чи особи, на яку покладено виконання обов’язків керівника ліцею, функції керівника ліцею, передбачені цим пунктом, виконує Управління освіти, культури, молоді та спорту.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Комісія з розгляду випадків насильства та/або жорстокого поводження з 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тьми виконує свої обов’язки на постійній основі.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 комісії формується з урахуванням її основних завдань та затверджується керівником закладу.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 комісії не може бути менше п’яти осіб. До нього входять голова, засту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 голови, секретар та члени комісії.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комісії входять працівники закладу, зокрема педагогічні працівники, практичний психолог, а також представники ССД та надавача соціальних по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луг, уповноваженого підрозділу органу Національної поліції (за згодою). До складу комісії не може входити працівник закладу, щодо якого надійшло пов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домлення.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 комісії, щодо якого надійшло повідомлення, виключається із складу ком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сії.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конфлікту інтересів голови комісії він має утриматися від участі в опрац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Головою комісії є керівник закладу.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Головою комісії не може бути керівник закладу, щодо якого надійшло повідо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лення.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комісії:</w:t>
      </w:r>
    </w:p>
    <w:p w:rsidR="00687E9B" w:rsidRPr="00722E93" w:rsidRDefault="00687E9B" w:rsidP="00687E9B">
      <w:pPr>
        <w:numPr>
          <w:ilvl w:val="0"/>
          <w:numId w:val="4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роботу комісії;</w:t>
      </w:r>
    </w:p>
    <w:p w:rsidR="00687E9B" w:rsidRPr="00722E93" w:rsidRDefault="00687E9B" w:rsidP="00687E9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 функціональні обов’язки кожного члена комісії;</w:t>
      </w:r>
    </w:p>
    <w:p w:rsidR="00687E9B" w:rsidRPr="00722E93" w:rsidRDefault="00687E9B" w:rsidP="00687E9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дотримання строків та процедур;</w:t>
      </w:r>
    </w:p>
    <w:p w:rsidR="00687E9B" w:rsidRPr="00722E93" w:rsidRDefault="00687E9B" w:rsidP="00687E9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 порядок денний і перелік питань, що підлягають розгляду;</w:t>
      </w:r>
    </w:p>
    <w:p w:rsidR="00687E9B" w:rsidRPr="00722E93" w:rsidRDefault="00687E9B" w:rsidP="00687E9B">
      <w:pPr>
        <w:numPr>
          <w:ilvl w:val="0"/>
          <w:numId w:val="4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моніторинг ефективності заходів реагування.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голови комісії його обов’язки виконує заступник. 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Секретар комісії забезпечує підготовку проведення засідань комісії та мат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ріалів, що підлягають розгляду на засіданнях комісії, ведення протоколу зас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дань комісії.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ступника.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Член комісії має право:</w:t>
      </w:r>
    </w:p>
    <w:p w:rsidR="00687E9B" w:rsidRPr="00722E93" w:rsidRDefault="00687E9B" w:rsidP="00687E9B">
      <w:pPr>
        <w:numPr>
          <w:ilvl w:val="0"/>
          <w:numId w:val="5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687E9B" w:rsidRPr="00722E93" w:rsidRDefault="00687E9B" w:rsidP="00687E9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подавати пропозиції, висловлювати власну думку з питань, що розгляд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ються;</w:t>
      </w:r>
    </w:p>
    <w:p w:rsidR="00687E9B" w:rsidRPr="00722E93" w:rsidRDefault="00687E9B" w:rsidP="00687E9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участь у прийнятті рішення шляхом голосування;</w:t>
      </w:r>
    </w:p>
    <w:p w:rsidR="00687E9B" w:rsidRPr="00722E93" w:rsidRDefault="00687E9B" w:rsidP="00687E9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висловлювати окрему думку усно або письмово;</w:t>
      </w:r>
    </w:p>
    <w:p w:rsidR="00687E9B" w:rsidRPr="00722E93" w:rsidRDefault="00687E9B" w:rsidP="00687E9B">
      <w:pPr>
        <w:numPr>
          <w:ilvl w:val="0"/>
          <w:numId w:val="5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вносити пропозиції до порядку денного засідання комісії.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Член комісії зобов’язаний:</w:t>
      </w:r>
    </w:p>
    <w:p w:rsidR="00687E9B" w:rsidRPr="00722E93" w:rsidRDefault="00687E9B" w:rsidP="00687E9B">
      <w:pPr>
        <w:numPr>
          <w:ilvl w:val="0"/>
          <w:numId w:val="6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 брати участь у роботі комісії;</w:t>
      </w:r>
    </w:p>
    <w:p w:rsidR="00687E9B" w:rsidRPr="00722E93" w:rsidRDefault="00687E9B" w:rsidP="00687E9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ресах або інтересах третіх осіб;</w:t>
      </w:r>
    </w:p>
    <w:p w:rsidR="00687E9B" w:rsidRPr="00722E93" w:rsidRDefault="00687E9B" w:rsidP="00687E9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виконувати в межах, передбачених законодавством та посадовими обов’язками, доручення голови комісії;</w:t>
      </w:r>
    </w:p>
    <w:p w:rsidR="00687E9B" w:rsidRPr="00722E93" w:rsidRDefault="00687E9B" w:rsidP="00687E9B">
      <w:pPr>
        <w:numPr>
          <w:ilvl w:val="0"/>
          <w:numId w:val="6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участь у голосуванні.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Метою діяльності комісії є:</w:t>
      </w:r>
    </w:p>
    <w:p w:rsidR="00687E9B" w:rsidRPr="00722E93" w:rsidRDefault="00687E9B" w:rsidP="00687E9B">
      <w:pPr>
        <w:numPr>
          <w:ilvl w:val="0"/>
          <w:numId w:val="7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 випадкам насильства та жорстокого поводження з дітьми під час провадження діяльності ліцею;</w:t>
      </w:r>
    </w:p>
    <w:p w:rsidR="00687E9B" w:rsidRPr="00722E93" w:rsidRDefault="00687E9B" w:rsidP="00687E9B">
      <w:pPr>
        <w:numPr>
          <w:ilvl w:val="0"/>
          <w:numId w:val="7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з’ясування причин, які призвели до випадку насильства та/або жорсток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поводження з дитиною, та вжиття заходів для усунення таких причин.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 Діяльність комісії провадиться з дотриманням принципів:</w:t>
      </w:r>
    </w:p>
    <w:p w:rsidR="00687E9B" w:rsidRPr="00722E93" w:rsidRDefault="00687E9B" w:rsidP="00687E9B">
      <w:pPr>
        <w:numPr>
          <w:ilvl w:val="0"/>
          <w:numId w:val="8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законності;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верховенства права;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найкращих інтересів дитини;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поваги та дотримання прав і свобод людини;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неупередженого ставлення;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відкритості та прозорості;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конфіденційності та захисту персональних даних;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невідкладного реагування;</w:t>
      </w:r>
    </w:p>
    <w:p w:rsidR="00687E9B" w:rsidRPr="00722E93" w:rsidRDefault="00687E9B" w:rsidP="00687E9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комплексного підходу до розгляду випадку насильства та/або жорстокого поводження з дитиною;</w:t>
      </w:r>
    </w:p>
    <w:p w:rsidR="00687E9B" w:rsidRPr="00722E93" w:rsidRDefault="00687E9B" w:rsidP="00687E9B">
      <w:pPr>
        <w:numPr>
          <w:ilvl w:val="0"/>
          <w:numId w:val="8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нетерпимості насильства та жорстокого поводження з дитиною та 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знання його суспільної небезпеки.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Комісія у своїй діяльності керується Законами України </w:t>
      </w:r>
      <w:hyperlink r:id="rId12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інформацію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»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захист персональних даних</w:t>
        </w:r>
      </w:hyperlink>
      <w:r w:rsidRPr="00510D5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охорону дитинства</w:t>
        </w:r>
      </w:hyperlink>
      <w:r w:rsidRPr="00510D5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«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 органи і служби у справах дітей та спеціальні установи для дітей</w:t>
        </w:r>
      </w:hyperlink>
      <w:r w:rsidRPr="00510D5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постановами Кабін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ту Міністрів України від 24 вересня 2008 р. </w:t>
      </w:r>
      <w:hyperlink r:id="rId16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№ 866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діяльності органів опіки та піклування,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’язаної із захистом прав дитини»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(Офіційний вісник України, 2008 р., № 76, ст. 2561), від 1 червня 2020 р. </w:t>
      </w:r>
      <w:hyperlink r:id="rId17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№ 585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забезпечення соціального захисту дітей, які перебувають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складних життєвих обставинах»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(Офіційний вісник України, 2020 р., № 57, ст. 1779) та іншими актами закон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давства.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 До завдань комісії належать:</w:t>
      </w:r>
    </w:p>
    <w:p w:rsidR="00687E9B" w:rsidRPr="00722E93" w:rsidRDefault="00687E9B" w:rsidP="00687E9B">
      <w:pPr>
        <w:numPr>
          <w:ilvl w:val="0"/>
          <w:numId w:val="9"/>
        </w:numPr>
        <w:spacing w:before="280"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токого поводження з дитиною, батьків або інших законних предста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ників дитини, яка стала стороною насильства та/або жорстокого пов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дитиною; опрацювання повідомлень, аналіз зібраної інфо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мації щодо обставин, зазначених у повідомленні;</w:t>
      </w:r>
    </w:p>
    <w:p w:rsidR="00687E9B" w:rsidRPr="00722E93" w:rsidRDefault="00687E9B" w:rsidP="00687E9B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оцінка потреб осіб, які є стороною насильства та/або жорстокого пов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з дитиною, в соціальних та психолого-педагогічних послугах і забезпечення таких послуг;</w:t>
      </w:r>
    </w:p>
    <w:p w:rsidR="00687E9B" w:rsidRPr="00722E93" w:rsidRDefault="00687E9B" w:rsidP="00687E9B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687E9B" w:rsidRPr="00722E93" w:rsidRDefault="00687E9B" w:rsidP="00687E9B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пропозицій щодо внесення змін до положення про запоб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гання та протидію насильству та/або жорстокому поводженню з діт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ми;</w:t>
      </w:r>
    </w:p>
    <w:p w:rsidR="00687E9B" w:rsidRPr="00722E93" w:rsidRDefault="00687E9B" w:rsidP="00687E9B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моніторингу виконання рекомендацій комісії і надання ві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повідної інформації ССД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87E9B" w:rsidRPr="00722E93" w:rsidRDefault="00687E9B" w:rsidP="00687E9B">
      <w:pPr>
        <w:numPr>
          <w:ilvl w:val="0"/>
          <w:numId w:val="9"/>
        </w:numPr>
        <w:spacing w:after="28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 висновків практичного психолога або інших експертних 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 Комісія має право:</w:t>
      </w:r>
    </w:p>
    <w:p w:rsidR="00687E9B" w:rsidRPr="00722E93" w:rsidRDefault="00687E9B" w:rsidP="00687E9B">
      <w:pPr>
        <w:numPr>
          <w:ilvl w:val="0"/>
          <w:numId w:val="10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вах дітей та надавача соціальних послуг;</w:t>
      </w:r>
    </w:p>
    <w:p w:rsidR="00687E9B" w:rsidRPr="00722E93" w:rsidRDefault="00687E9B" w:rsidP="00687E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:rsidR="00687E9B" w:rsidRPr="00722E93" w:rsidRDefault="00687E9B" w:rsidP="00687E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 причини насильства та/або жорстокого поводження, а також необхідні заходи для усунення таких причин;</w:t>
      </w:r>
    </w:p>
    <w:p w:rsidR="00687E9B" w:rsidRPr="00722E93" w:rsidRDefault="00687E9B" w:rsidP="00687E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моніторинг ефективності соціальних та психолого-педагогічних послуг, заходів з усунення причин насильства та/або жор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токого поводження з дитиною, заходів впливу та корегування (за потр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би) відповідних послуг та заходів;</w:t>
      </w:r>
    </w:p>
    <w:p w:rsidR="00687E9B" w:rsidRPr="00722E93" w:rsidRDefault="00687E9B" w:rsidP="00687E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надавати рекомендації для працівників суб’єкта щодо доцільних методів здійснення заходів з дітьми, які стали стороною насильства та/або жор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токого поводження з дитиною;</w:t>
      </w:r>
    </w:p>
    <w:p w:rsidR="00687E9B" w:rsidRPr="00722E93" w:rsidRDefault="00687E9B" w:rsidP="00687E9B">
      <w:pPr>
        <w:numPr>
          <w:ilvl w:val="0"/>
          <w:numId w:val="10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надавати рекомендації для батьків або інших законних представників дитини, яка стала стороною насильства та/або жорстокого поводження з 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тиною.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16. 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Дату, час, місце і формат проведення засідання комісії визначає її голова, за в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дсутності голови комісії - його заступник.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 Засідання комісії є правоможним у разі участі в ньому не менш як двох тр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тин її складу.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 Секретар комісії не пізніше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ком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сії та зазначеним особам необхідні матеріали в електронній або паперовій фо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19. Рішення з питань, що розглядаються на засіданні комісії, приймаються шл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голови комісії вирішальним є голос його заступника.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20. Під час проведення засідання комісії секретар комісії веде </w:t>
      </w:r>
      <w:hyperlink r:id="rId18" w:anchor="bookmark=id.7nb0cd2yqzdm" w:history="1"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протокол зас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і</w:t>
        </w:r>
        <w:r w:rsidRPr="00722E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дання комісії</w:t>
        </w:r>
      </w:hyperlink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формою згідно з додатком 1.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До участі у засіданні комісії можуть залучатися батьки або інші законні представники дитини (за згодою), крім випадків, коли вони є кривдниками 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тини, а також особи, які стали свідками випадку насильства та/або жорстокого поводження з дитиною.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зобов’язані дотримуватися при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ципів діяльності комісії, зокрема не розголошувати стороннім особам 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відомо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під час засідання комісії мають право:</w:t>
      </w:r>
    </w:p>
    <w:p w:rsidR="00687E9B" w:rsidRPr="00722E93" w:rsidRDefault="00687E9B" w:rsidP="00687E9B">
      <w:pPr>
        <w:numPr>
          <w:ilvl w:val="0"/>
          <w:numId w:val="11"/>
        </w:numPr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ознайомлюватися з матеріалами, поданими на розгляд комісії;</w:t>
      </w:r>
    </w:p>
    <w:p w:rsidR="00687E9B" w:rsidRPr="00722E93" w:rsidRDefault="00687E9B" w:rsidP="00687E9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ставити питання по суті розгляду;</w:t>
      </w:r>
    </w:p>
    <w:p w:rsidR="00687E9B" w:rsidRPr="00722E93" w:rsidRDefault="00687E9B" w:rsidP="00687E9B">
      <w:pPr>
        <w:numPr>
          <w:ilvl w:val="0"/>
          <w:numId w:val="11"/>
        </w:numPr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подавати пропозиції, висловлювати власну думку з питань, що розгляд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ються.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 Голова комісії доводить до відома заінтересованих осіб та Державної слу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 у справах дітей рішення комісії згідно із протоколом засідання та здійснює контроль за його виконанням.</w:t>
      </w:r>
    </w:p>
    <w:p w:rsidR="00687E9B" w:rsidRPr="00722E93" w:rsidRDefault="00687E9B" w:rsidP="00687E9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2E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23. Строк опрацювання комісією повідомлень та виконання нею своїх завдань не має перевищувати 10 робочих днів із дня їх отримання керівником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закладу освіти.</w:t>
      </w:r>
    </w:p>
    <w:p w:rsidR="00687E9B" w:rsidRDefault="00687E9B" w:rsidP="00687E9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E9B" w:rsidRDefault="00687E9B" w:rsidP="00687E9B">
      <w:pPr>
        <w:jc w:val="both"/>
        <w:rPr>
          <w:rFonts w:ascii="Times New Roman" w:hAnsi="Times New Roman" w:cs="Times New Roman"/>
          <w:sz w:val="28"/>
          <w:szCs w:val="28"/>
        </w:rPr>
      </w:pPr>
      <w:r w:rsidRPr="00510D5A">
        <w:rPr>
          <w:rFonts w:ascii="Times New Roman" w:hAnsi="Times New Roman" w:cs="Times New Roman"/>
          <w:sz w:val="28"/>
          <w:szCs w:val="28"/>
        </w:rPr>
        <w:t>В.о. директора школи</w:t>
      </w:r>
      <w:r w:rsidRPr="00510D5A">
        <w:rPr>
          <w:rFonts w:ascii="Times New Roman" w:hAnsi="Times New Roman" w:cs="Times New Roman"/>
          <w:sz w:val="28"/>
          <w:szCs w:val="28"/>
        </w:rPr>
        <w:tab/>
      </w:r>
      <w:r w:rsidRPr="00510D5A">
        <w:rPr>
          <w:rFonts w:ascii="Times New Roman" w:hAnsi="Times New Roman" w:cs="Times New Roman"/>
          <w:sz w:val="28"/>
          <w:szCs w:val="28"/>
        </w:rPr>
        <w:tab/>
      </w:r>
      <w:r w:rsidRPr="00510D5A">
        <w:rPr>
          <w:rFonts w:ascii="Times New Roman" w:hAnsi="Times New Roman" w:cs="Times New Roman"/>
          <w:sz w:val="28"/>
          <w:szCs w:val="28"/>
        </w:rPr>
        <w:tab/>
      </w:r>
      <w:r w:rsidRPr="00510D5A">
        <w:rPr>
          <w:rFonts w:ascii="Times New Roman" w:hAnsi="Times New Roman" w:cs="Times New Roman"/>
          <w:sz w:val="28"/>
          <w:szCs w:val="28"/>
        </w:rPr>
        <w:tab/>
      </w:r>
      <w:r w:rsidRPr="00510D5A">
        <w:rPr>
          <w:rFonts w:ascii="Times New Roman" w:hAnsi="Times New Roman" w:cs="Times New Roman"/>
          <w:sz w:val="28"/>
          <w:szCs w:val="28"/>
        </w:rPr>
        <w:tab/>
      </w:r>
      <w:r w:rsidRPr="00510D5A">
        <w:rPr>
          <w:rFonts w:ascii="Times New Roman" w:hAnsi="Times New Roman" w:cs="Times New Roman"/>
          <w:sz w:val="28"/>
          <w:szCs w:val="28"/>
        </w:rPr>
        <w:tab/>
        <w:t>Катерина МИГОВИЧ</w:t>
      </w:r>
    </w:p>
    <w:p w:rsidR="00687E9B" w:rsidRDefault="00687E9B" w:rsidP="00687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E47" w:rsidRDefault="00513E47"/>
    <w:sectPr w:rsidR="00513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1AC"/>
    <w:multiLevelType w:val="multilevel"/>
    <w:tmpl w:val="6F2E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52D72"/>
    <w:multiLevelType w:val="multilevel"/>
    <w:tmpl w:val="48C8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674BB"/>
    <w:multiLevelType w:val="multilevel"/>
    <w:tmpl w:val="FD3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17FB5"/>
    <w:multiLevelType w:val="multilevel"/>
    <w:tmpl w:val="343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713A8"/>
    <w:multiLevelType w:val="multilevel"/>
    <w:tmpl w:val="A3D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C1A2A"/>
    <w:multiLevelType w:val="multilevel"/>
    <w:tmpl w:val="C67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216CC"/>
    <w:multiLevelType w:val="multilevel"/>
    <w:tmpl w:val="6F9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C1D79"/>
    <w:multiLevelType w:val="multilevel"/>
    <w:tmpl w:val="B90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E50E7"/>
    <w:multiLevelType w:val="multilevel"/>
    <w:tmpl w:val="0DF0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3200B"/>
    <w:multiLevelType w:val="multilevel"/>
    <w:tmpl w:val="2BF8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A3D41"/>
    <w:multiLevelType w:val="multilevel"/>
    <w:tmpl w:val="4CC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A2"/>
    <w:rsid w:val="00513E47"/>
    <w:rsid w:val="00687E9B"/>
    <w:rsid w:val="00C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yperlink" Target="https://zakon.rada.gov.ua/laws/show/2297-17" TargetMode="External"/><Relationship Id="rId18" Type="http://schemas.openxmlformats.org/officeDocument/2006/relationships/hyperlink" Target="https://docs.google.com/document/d/15oysceQMkYGB6PbzZ8NHVkwUrhec-3S_/ed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341-14" TargetMode="External"/><Relationship Id="rId12" Type="http://schemas.openxmlformats.org/officeDocument/2006/relationships/hyperlink" Target="https://zakon.rada.gov.ua/laws/show/2657-12" TargetMode="External"/><Relationship Id="rId17" Type="http://schemas.openxmlformats.org/officeDocument/2006/relationships/hyperlink" Target="https://zakon.rada.gov.ua/laws/show/585-2020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66-2008-%D0%B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hyperlink" Target="https://zakon.rada.gov.ua/laws/show/658-2025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0/95-%D0%B2%D1%80" TargetMode="External"/><Relationship Id="rId10" Type="http://schemas.openxmlformats.org/officeDocument/2006/relationships/hyperlink" Target="https://zakon.rada.gov.ua/laws/show/2229-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02-14" TargetMode="External"/><Relationship Id="rId14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9408</Words>
  <Characters>5364</Characters>
  <Application>Microsoft Office Word</Application>
  <DocSecurity>0</DocSecurity>
  <Lines>44</Lines>
  <Paragraphs>29</Paragraphs>
  <ScaleCrop>false</ScaleCrop>
  <Company/>
  <LinksUpToDate>false</LinksUpToDate>
  <CharactersWithSpaces>14743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2026-04-27T15:45:00Z</dcterms:created>
  <dcterms:modified xsi:type="dcterms:W3CDTF">2026-04-27T15:46:00Z</dcterms:modified>
</cp:coreProperties>
</file>