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81335D" w:rsidRPr="0085229D" w:rsidRDefault="0081335D" w:rsidP="00211FC5">
      <w:pPr>
        <w:pStyle w:val="1"/>
        <w:keepNext/>
        <w:widowControl/>
        <w:spacing w:before="120" w:line="360" w:lineRule="auto"/>
        <w:jc w:val="center"/>
        <w:rPr>
          <w:b/>
          <w:bCs/>
          <w:kern w:val="32"/>
          <w:sz w:val="28"/>
          <w:szCs w:val="28"/>
          <w:lang w:val="uk-UA"/>
        </w:rPr>
      </w:pPr>
      <w:r w:rsidRPr="0085229D">
        <w:rPr>
          <w:b/>
          <w:bCs/>
          <w:kern w:val="32"/>
          <w:sz w:val="28"/>
          <w:szCs w:val="28"/>
          <w:lang w:val="uk-UA"/>
        </w:rPr>
        <w:t xml:space="preserve">Рекомендації з встановлення користувачем програмного забезпечення </w:t>
      </w:r>
      <w:r w:rsidRPr="0085229D">
        <w:rPr>
          <w:b/>
          <w:bCs/>
          <w:kern w:val="32"/>
          <w:sz w:val="28"/>
          <w:szCs w:val="28"/>
          <w:lang w:val="uk-UA"/>
        </w:rPr>
        <w:br/>
        <w:t xml:space="preserve">для формування файлу інформації до НКЦПФР відповідно до </w:t>
      </w:r>
      <w:r w:rsidRPr="0085229D">
        <w:rPr>
          <w:b/>
          <w:bCs/>
          <w:kern w:val="32"/>
          <w:sz w:val="28"/>
          <w:szCs w:val="28"/>
          <w:lang w:val="uk-UA"/>
        </w:rPr>
        <w:br/>
        <w:t xml:space="preserve">Рішення від 21.02.2023 № 181 («АФР-МультиЗвіт»:181») </w:t>
      </w:r>
    </w:p>
    <w:p w:rsidR="0081335D" w:rsidRPr="0085229D" w:rsidRDefault="0081335D" w:rsidP="00211FC5">
      <w:pPr>
        <w:pStyle w:val="1"/>
        <w:keepNext/>
        <w:widowControl/>
        <w:numPr>
          <w:ilvl w:val="0"/>
          <w:numId w:val="3"/>
        </w:numPr>
        <w:spacing w:before="240"/>
        <w:rPr>
          <w:b/>
          <w:bCs/>
          <w:kern w:val="32"/>
          <w:lang w:val="uk-UA"/>
        </w:rPr>
      </w:pPr>
      <w:r w:rsidRPr="0085229D">
        <w:rPr>
          <w:b/>
          <w:bCs/>
          <w:kern w:val="32"/>
          <w:lang w:val="uk-UA"/>
        </w:rPr>
        <w:t>Призначення програми</w:t>
      </w:r>
    </w:p>
    <w:p w:rsidR="0081335D" w:rsidRPr="0085229D" w:rsidRDefault="0081335D">
      <w:pPr>
        <w:widowControl/>
        <w:spacing w:before="120" w:after="160" w:line="252" w:lineRule="auto"/>
        <w:ind w:firstLine="561"/>
        <w:jc w:val="both"/>
        <w:rPr>
          <w:lang w:val="uk-UA"/>
        </w:rPr>
      </w:pPr>
      <w:r w:rsidRPr="0085229D">
        <w:rPr>
          <w:lang w:val="uk-UA"/>
        </w:rPr>
        <w:t>Програма «АФР-МультиЗвіт»:181» (Далі Програма), у складі «АФР-</w:t>
      </w:r>
      <w:proofErr w:type="spellStart"/>
      <w:r w:rsidRPr="0085229D">
        <w:rPr>
          <w:lang w:val="uk-UA"/>
        </w:rPr>
        <w:t>МультиЗвіт</w:t>
      </w:r>
      <w:proofErr w:type="spellEnd"/>
      <w:r w:rsidRPr="0085229D">
        <w:rPr>
          <w:lang w:val="uk-UA"/>
        </w:rPr>
        <w:t>», призначена для автоматизації процесу підготовки звітів (адміністративних даних) емітентами цінних паперів (далі емітентів) до НКЦПФР (далі – Комісія), та відповідає вимогам:</w:t>
      </w:r>
    </w:p>
    <w:p w:rsidR="0081335D" w:rsidRPr="0085229D" w:rsidRDefault="0081335D" w:rsidP="00B958D9">
      <w:pPr>
        <w:widowControl/>
        <w:numPr>
          <w:ilvl w:val="0"/>
          <w:numId w:val="1"/>
        </w:numPr>
        <w:spacing w:before="120" w:after="160" w:line="252" w:lineRule="auto"/>
        <w:ind w:left="921" w:hanging="360"/>
        <w:jc w:val="both"/>
        <w:rPr>
          <w:lang w:val="uk-UA"/>
        </w:rPr>
      </w:pPr>
      <w:r w:rsidRPr="0085229D">
        <w:rPr>
          <w:lang w:val="uk-UA"/>
        </w:rPr>
        <w:t xml:space="preserve">Рішення Національної комісії з цінних паперів та фондового ринку №181 від 21.02.2023 року «Про встановлення порядку розкриття емітентами цінних паперів інформації щодо наявності </w:t>
      </w:r>
      <w:proofErr w:type="spellStart"/>
      <w:r w:rsidRPr="0085229D">
        <w:rPr>
          <w:lang w:val="uk-UA"/>
        </w:rPr>
        <w:t>зв’язків</w:t>
      </w:r>
      <w:proofErr w:type="spellEnd"/>
      <w:r w:rsidRPr="0085229D">
        <w:rPr>
          <w:lang w:val="uk-UA"/>
        </w:rPr>
        <w:t xml:space="preserve"> з іноземними державами зони ризику під час дії воєнного стану»</w:t>
      </w:r>
    </w:p>
    <w:p w:rsidR="0081335D" w:rsidRPr="0085229D" w:rsidRDefault="0081335D">
      <w:pPr>
        <w:widowControl/>
        <w:spacing w:before="120" w:after="160" w:line="252" w:lineRule="auto"/>
        <w:jc w:val="both"/>
        <w:rPr>
          <w:lang w:val="uk-UA"/>
        </w:rPr>
      </w:pPr>
      <w:r w:rsidRPr="0085229D">
        <w:rPr>
          <w:lang w:val="uk-UA"/>
        </w:rPr>
        <w:t>Адміністративні дані емітентів складаються з 1</w:t>
      </w:r>
      <w:r w:rsidR="00F2053B" w:rsidRPr="0085229D">
        <w:rPr>
          <w:lang w:val="uk-UA"/>
        </w:rPr>
        <w:t>2</w:t>
      </w:r>
      <w:r w:rsidRPr="0085229D">
        <w:rPr>
          <w:lang w:val="uk-UA"/>
        </w:rPr>
        <w:t xml:space="preserve"> звітних документів</w:t>
      </w:r>
      <w:r w:rsidR="005260DD" w:rsidRPr="0085229D">
        <w:rPr>
          <w:lang w:val="uk-UA"/>
        </w:rPr>
        <w:t>, 10 за формою Інформації, 2 за формою Переліку</w:t>
      </w:r>
      <w:r w:rsidRPr="0085229D">
        <w:rPr>
          <w:lang w:val="uk-UA"/>
        </w:rPr>
        <w:t>:</w:t>
      </w:r>
    </w:p>
    <w:p w:rsidR="0081335D" w:rsidRPr="0085229D" w:rsidRDefault="0081335D">
      <w:pPr>
        <w:widowControl/>
        <w:spacing w:before="120" w:after="160" w:line="252" w:lineRule="auto"/>
        <w:ind w:left="360" w:hanging="360"/>
        <w:jc w:val="both"/>
        <w:rPr>
          <w:lang w:val="uk-UA"/>
        </w:rPr>
      </w:pPr>
      <w:r w:rsidRPr="0085229D">
        <w:rPr>
          <w:color w:val="000000"/>
          <w:lang w:val="uk-UA"/>
        </w:rPr>
        <w:t>1.</w:t>
      </w:r>
      <w:r w:rsidRPr="0085229D">
        <w:rPr>
          <w:color w:val="000000"/>
          <w:lang w:val="uk-UA"/>
        </w:rPr>
        <w:tab/>
        <w:t>Інформація щодо наявності в структурі власності емітента фізичних осіб, які мають громадянство іноземної держави зони ризику.</w:t>
      </w:r>
    </w:p>
    <w:p w:rsidR="0081335D" w:rsidRPr="0085229D" w:rsidRDefault="0081335D">
      <w:pPr>
        <w:widowControl/>
        <w:spacing w:before="120" w:after="160" w:line="252" w:lineRule="auto"/>
        <w:ind w:left="360" w:hanging="360"/>
        <w:jc w:val="both"/>
        <w:rPr>
          <w:lang w:val="uk-UA"/>
        </w:rPr>
      </w:pPr>
      <w:r w:rsidRPr="0085229D">
        <w:rPr>
          <w:color w:val="000000"/>
          <w:lang w:val="uk-UA"/>
        </w:rPr>
        <w:t>2.</w:t>
      </w:r>
      <w:r w:rsidRPr="0085229D">
        <w:rPr>
          <w:color w:val="000000"/>
          <w:lang w:val="uk-UA"/>
        </w:rPr>
        <w:tab/>
        <w:t>Інформація щодо наявності в структурі власності емітента фізичних осіб, постійним місцем проживання яких є іноземні держави зони ризику.</w:t>
      </w:r>
    </w:p>
    <w:p w:rsidR="0081335D" w:rsidRPr="0085229D" w:rsidRDefault="0081335D">
      <w:pPr>
        <w:widowControl/>
        <w:spacing w:before="120" w:after="160" w:line="252" w:lineRule="auto"/>
        <w:ind w:left="360" w:hanging="360"/>
        <w:jc w:val="both"/>
        <w:rPr>
          <w:lang w:val="uk-UA"/>
        </w:rPr>
      </w:pPr>
      <w:r w:rsidRPr="0085229D">
        <w:rPr>
          <w:color w:val="000000"/>
          <w:lang w:val="uk-UA"/>
        </w:rPr>
        <w:t>3.</w:t>
      </w:r>
      <w:r w:rsidRPr="0085229D">
        <w:rPr>
          <w:color w:val="000000"/>
          <w:lang w:val="uk-UA"/>
        </w:rPr>
        <w:tab/>
        <w:t>Інформація щодо наявності в структурі власності емітента юридичних осіб, місцем реєстрації яких є іноземні держави зони ризику.</w:t>
      </w:r>
    </w:p>
    <w:p w:rsidR="0081335D" w:rsidRPr="0085229D" w:rsidRDefault="0081335D">
      <w:pPr>
        <w:widowControl/>
        <w:spacing w:before="120" w:after="160" w:line="252" w:lineRule="auto"/>
        <w:ind w:left="792" w:hanging="432"/>
        <w:jc w:val="both"/>
        <w:rPr>
          <w:lang w:val="uk-UA"/>
        </w:rPr>
      </w:pPr>
      <w:r w:rsidRPr="0085229D">
        <w:rPr>
          <w:lang w:val="uk-UA"/>
        </w:rPr>
        <w:t>3.1.</w:t>
      </w:r>
      <w:r w:rsidRPr="0085229D">
        <w:rPr>
          <w:lang w:val="uk-UA"/>
        </w:rPr>
        <w:tab/>
        <w:t>Перелік засновників, акціонерів, учасників, що відноситься до інформації щодо наявності в структурі власності емітента юридичних осіб, місцем реєстрації яких є іноземні держави зони ризику.</w:t>
      </w:r>
    </w:p>
    <w:p w:rsidR="0081335D" w:rsidRPr="0085229D" w:rsidRDefault="0081335D">
      <w:pPr>
        <w:widowControl/>
        <w:spacing w:before="120" w:after="160" w:line="252" w:lineRule="auto"/>
        <w:ind w:left="360" w:hanging="360"/>
        <w:jc w:val="both"/>
        <w:rPr>
          <w:lang w:val="uk-UA"/>
        </w:rPr>
      </w:pPr>
      <w:r w:rsidRPr="0085229D">
        <w:rPr>
          <w:color w:val="000000"/>
          <w:lang w:val="uk-UA"/>
        </w:rPr>
        <w:t>4.</w:t>
      </w:r>
      <w:r w:rsidRPr="0085229D">
        <w:rPr>
          <w:color w:val="000000"/>
          <w:lang w:val="uk-UA"/>
        </w:rPr>
        <w:tab/>
        <w:t>Інформація щодо наявності в органах управління емітента фізичних осіб, які мають громадянство іноземної держави зони ризику.</w:t>
      </w:r>
    </w:p>
    <w:p w:rsidR="005260DD" w:rsidRPr="0085229D" w:rsidRDefault="0081335D" w:rsidP="005260DD">
      <w:pPr>
        <w:widowControl/>
        <w:spacing w:before="120" w:after="160" w:line="252" w:lineRule="auto"/>
        <w:ind w:left="360" w:hanging="360"/>
        <w:jc w:val="both"/>
        <w:rPr>
          <w:color w:val="000000"/>
          <w:lang w:val="uk-UA"/>
        </w:rPr>
      </w:pPr>
      <w:r w:rsidRPr="0085229D">
        <w:rPr>
          <w:color w:val="000000"/>
          <w:lang w:val="uk-UA"/>
        </w:rPr>
        <w:t>5.</w:t>
      </w:r>
      <w:r w:rsidRPr="0085229D">
        <w:rPr>
          <w:color w:val="000000"/>
          <w:lang w:val="uk-UA"/>
        </w:rPr>
        <w:tab/>
        <w:t xml:space="preserve">Інформація щодо наявності у емітента ділових відносин з </w:t>
      </w:r>
      <w:r w:rsidR="005260DD" w:rsidRPr="0085229D">
        <w:rPr>
          <w:color w:val="000000"/>
          <w:lang w:val="uk-UA"/>
        </w:rPr>
        <w:t>клієнтами/</w:t>
      </w:r>
      <w:r w:rsidRPr="0085229D">
        <w:rPr>
          <w:color w:val="000000"/>
          <w:lang w:val="uk-UA"/>
        </w:rPr>
        <w:t xml:space="preserve">контрагентами держави зони ризику або </w:t>
      </w:r>
      <w:r w:rsidR="005260DD" w:rsidRPr="0085229D">
        <w:rPr>
          <w:color w:val="000000"/>
          <w:lang w:val="uk-UA"/>
        </w:rPr>
        <w:t>клієнтами/</w:t>
      </w:r>
      <w:r w:rsidRPr="0085229D">
        <w:rPr>
          <w:color w:val="000000"/>
          <w:lang w:val="uk-UA"/>
        </w:rPr>
        <w:t>контрагентами, які контролюються державою зони ризику</w:t>
      </w:r>
      <w:r w:rsidR="005260DD" w:rsidRPr="0085229D">
        <w:rPr>
          <w:color w:val="000000"/>
          <w:lang w:val="uk-UA"/>
        </w:rPr>
        <w:t xml:space="preserve"> для клієнтів/контрагентів – юридичних осіб (</w:t>
      </w:r>
      <w:r w:rsidR="005260DD" w:rsidRPr="0085229D">
        <w:rPr>
          <w:i/>
          <w:iCs/>
          <w:color w:val="000000"/>
          <w:lang w:val="uk-UA"/>
        </w:rPr>
        <w:t>версія 1.3</w:t>
      </w:r>
      <w:r w:rsidR="005260DD" w:rsidRPr="0085229D">
        <w:rPr>
          <w:color w:val="000000"/>
          <w:lang w:val="uk-UA"/>
        </w:rPr>
        <w:t>)</w:t>
      </w:r>
      <w:r w:rsidRPr="0085229D">
        <w:rPr>
          <w:color w:val="000000"/>
          <w:lang w:val="uk-UA"/>
        </w:rPr>
        <w:t>.</w:t>
      </w:r>
    </w:p>
    <w:p w:rsidR="005260DD" w:rsidRPr="0085229D" w:rsidRDefault="005260DD" w:rsidP="005260DD">
      <w:pPr>
        <w:widowControl/>
        <w:spacing w:before="120" w:after="160" w:line="252" w:lineRule="auto"/>
        <w:ind w:left="360" w:hanging="360"/>
        <w:jc w:val="both"/>
        <w:rPr>
          <w:color w:val="000000"/>
          <w:lang w:val="uk-UA"/>
        </w:rPr>
      </w:pPr>
      <w:r w:rsidRPr="0085229D">
        <w:rPr>
          <w:color w:val="000000"/>
          <w:lang w:val="uk-UA"/>
        </w:rPr>
        <w:t>6. Інформація щодо наявності у емітента ділових відносин з клієнтами/контрагентами держави зони ризику або клієнтами/контрагентами, які контролюються державою зони ризику для клієнтів/контрагентів – фізичних осіб (</w:t>
      </w:r>
      <w:r w:rsidRPr="0085229D">
        <w:rPr>
          <w:i/>
          <w:iCs/>
          <w:color w:val="000000"/>
          <w:lang w:val="uk-UA"/>
        </w:rPr>
        <w:t>версія 1.3</w:t>
      </w:r>
      <w:r w:rsidRPr="0085229D">
        <w:rPr>
          <w:color w:val="000000"/>
          <w:lang w:val="uk-UA"/>
        </w:rPr>
        <w:t>).</w:t>
      </w:r>
    </w:p>
    <w:p w:rsidR="005260DD" w:rsidRPr="0085229D" w:rsidRDefault="005260DD" w:rsidP="005260DD">
      <w:pPr>
        <w:widowControl/>
        <w:spacing w:before="120" w:after="160" w:line="252" w:lineRule="auto"/>
        <w:ind w:left="360" w:hanging="360"/>
        <w:jc w:val="both"/>
        <w:rPr>
          <w:color w:val="000000"/>
          <w:lang w:val="uk-UA"/>
        </w:rPr>
      </w:pPr>
    </w:p>
    <w:p w:rsidR="0081335D" w:rsidRPr="0085229D" w:rsidRDefault="005260DD">
      <w:pPr>
        <w:widowControl/>
        <w:spacing w:before="120" w:after="160" w:line="252" w:lineRule="auto"/>
        <w:ind w:left="360" w:hanging="360"/>
        <w:jc w:val="both"/>
        <w:rPr>
          <w:lang w:val="uk-UA"/>
        </w:rPr>
      </w:pPr>
      <w:r w:rsidRPr="0085229D">
        <w:rPr>
          <w:color w:val="000000"/>
          <w:lang w:val="uk-UA"/>
        </w:rPr>
        <w:t>7.</w:t>
      </w:r>
      <w:r w:rsidR="0081335D" w:rsidRPr="0085229D">
        <w:rPr>
          <w:color w:val="000000"/>
          <w:lang w:val="uk-UA"/>
        </w:rPr>
        <w:tab/>
        <w:t>Інформація щодо розташування дочірніх компаній/підприємств, філій, представництв та/або інших відокремлених структурних підрозділів емітента на території держави зони ризику.</w:t>
      </w:r>
    </w:p>
    <w:p w:rsidR="0081335D" w:rsidRPr="0085229D" w:rsidRDefault="005260DD">
      <w:pPr>
        <w:widowControl/>
        <w:spacing w:before="120" w:after="160" w:line="252" w:lineRule="auto"/>
        <w:ind w:left="360" w:hanging="360"/>
        <w:jc w:val="both"/>
        <w:rPr>
          <w:lang w:val="uk-UA"/>
        </w:rPr>
      </w:pPr>
      <w:r w:rsidRPr="0085229D">
        <w:rPr>
          <w:color w:val="000000"/>
          <w:lang w:val="uk-UA"/>
        </w:rPr>
        <w:t>8</w:t>
      </w:r>
      <w:r w:rsidR="0081335D" w:rsidRPr="0085229D">
        <w:rPr>
          <w:color w:val="000000"/>
          <w:lang w:val="uk-UA"/>
        </w:rPr>
        <w:t>.</w:t>
      </w:r>
      <w:r w:rsidR="0081335D" w:rsidRPr="0085229D">
        <w:rPr>
          <w:color w:val="000000"/>
          <w:lang w:val="uk-UA"/>
        </w:rPr>
        <w:tab/>
        <w:t>Інформація щодо наявності юридичних осіб засновником, учасником, акціонером яких є емітент разом з особами, визначеними пунктами 1–3 цієї Інструкції.</w:t>
      </w:r>
    </w:p>
    <w:p w:rsidR="0081335D" w:rsidRPr="0085229D" w:rsidRDefault="005260DD">
      <w:pPr>
        <w:widowControl/>
        <w:spacing w:before="120" w:after="160" w:line="252" w:lineRule="auto"/>
        <w:ind w:left="792" w:hanging="432"/>
        <w:jc w:val="both"/>
        <w:rPr>
          <w:lang w:val="uk-UA"/>
        </w:rPr>
      </w:pPr>
      <w:r w:rsidRPr="0085229D">
        <w:rPr>
          <w:lang w:val="uk-UA"/>
        </w:rPr>
        <w:t>8</w:t>
      </w:r>
      <w:r w:rsidR="0081335D" w:rsidRPr="0085229D">
        <w:rPr>
          <w:lang w:val="uk-UA"/>
        </w:rPr>
        <w:t>.1.</w:t>
      </w:r>
      <w:r w:rsidR="0081335D" w:rsidRPr="0085229D">
        <w:rPr>
          <w:lang w:val="uk-UA"/>
        </w:rPr>
        <w:tab/>
        <w:t xml:space="preserve">Перелік засновників, акціонерів, учасників, що відноситься до інформації щодо наявності юридичних осіб засновником, учасником, акціонером яких є емітент разом з особами, визначеними </w:t>
      </w:r>
      <w:r w:rsidR="0081335D" w:rsidRPr="0085229D">
        <w:rPr>
          <w:color w:val="000000"/>
          <w:lang w:val="uk-UA"/>
        </w:rPr>
        <w:t>пунктами 1–3 цієї Інструкції.</w:t>
      </w:r>
    </w:p>
    <w:p w:rsidR="0081335D" w:rsidRPr="0085229D" w:rsidRDefault="005260DD">
      <w:pPr>
        <w:widowControl/>
        <w:spacing w:before="120" w:after="160" w:line="252" w:lineRule="auto"/>
        <w:ind w:left="360" w:hanging="360"/>
        <w:jc w:val="both"/>
        <w:rPr>
          <w:lang w:val="uk-UA"/>
        </w:rPr>
      </w:pPr>
      <w:r w:rsidRPr="0085229D">
        <w:rPr>
          <w:color w:val="000000"/>
          <w:lang w:val="uk-UA"/>
        </w:rPr>
        <w:t>9</w:t>
      </w:r>
      <w:r w:rsidR="0081335D" w:rsidRPr="0085229D">
        <w:rPr>
          <w:color w:val="000000"/>
          <w:lang w:val="uk-UA"/>
        </w:rPr>
        <w:t>.</w:t>
      </w:r>
      <w:r w:rsidR="0081335D" w:rsidRPr="0085229D">
        <w:rPr>
          <w:color w:val="000000"/>
          <w:lang w:val="uk-UA"/>
        </w:rPr>
        <w:tab/>
        <w:t>Інформація щодо наявності в емітента корпоративних прав в юридичній особі, зареєстрованій в іноземній державі зони ризику.</w:t>
      </w:r>
    </w:p>
    <w:p w:rsidR="0081335D" w:rsidRPr="0085229D" w:rsidRDefault="005260DD">
      <w:pPr>
        <w:widowControl/>
        <w:spacing w:before="120" w:after="160" w:line="252" w:lineRule="auto"/>
        <w:ind w:left="360" w:hanging="360"/>
        <w:jc w:val="both"/>
        <w:rPr>
          <w:lang w:val="uk-UA"/>
        </w:rPr>
      </w:pPr>
      <w:r w:rsidRPr="0085229D">
        <w:rPr>
          <w:color w:val="000000"/>
          <w:lang w:val="uk-UA"/>
        </w:rPr>
        <w:t>10</w:t>
      </w:r>
      <w:r w:rsidR="0081335D" w:rsidRPr="0085229D">
        <w:rPr>
          <w:color w:val="000000"/>
          <w:lang w:val="uk-UA"/>
        </w:rPr>
        <w:t>.</w:t>
      </w:r>
      <w:r w:rsidR="0081335D" w:rsidRPr="0085229D">
        <w:rPr>
          <w:color w:val="000000"/>
          <w:lang w:val="uk-UA"/>
        </w:rPr>
        <w:tab/>
        <w:t>Інформація щодо наявності у емітента цінних паперів (крім акцій) юридичної особи, яка зареєстрована в іноземній державі зони ризику.</w:t>
      </w:r>
    </w:p>
    <w:p w:rsidR="0081335D" w:rsidRPr="0085229D" w:rsidRDefault="005260DD">
      <w:pPr>
        <w:pStyle w:val="1"/>
        <w:keepNext/>
        <w:widowControl/>
        <w:spacing w:before="240"/>
        <w:rPr>
          <w:b/>
          <w:bCs/>
          <w:kern w:val="32"/>
          <w:lang w:val="uk-UA"/>
        </w:rPr>
      </w:pPr>
      <w:r w:rsidRPr="0085229D">
        <w:rPr>
          <w:b/>
          <w:bCs/>
          <w:lang w:val="uk-UA"/>
        </w:rPr>
        <w:t xml:space="preserve">2. </w:t>
      </w:r>
      <w:r w:rsidR="0081335D" w:rsidRPr="0085229D">
        <w:rPr>
          <w:b/>
          <w:bCs/>
          <w:lang w:val="uk-UA"/>
        </w:rPr>
        <w:t>Інструкція</w:t>
      </w:r>
      <w:r w:rsidR="0081335D" w:rsidRPr="0085229D">
        <w:rPr>
          <w:b/>
          <w:bCs/>
          <w:kern w:val="32"/>
          <w:lang w:val="uk-UA"/>
        </w:rPr>
        <w:t xml:space="preserve"> з встановлення програми «АФР-МультиЗвіт»:181» версії 1.1 і вище</w:t>
      </w:r>
    </w:p>
    <w:p w:rsidR="0081335D" w:rsidRPr="0085229D" w:rsidRDefault="0081335D">
      <w:pPr>
        <w:widowControl/>
        <w:spacing w:after="160" w:line="252" w:lineRule="auto"/>
        <w:rPr>
          <w:rFonts w:ascii="Calibri" w:hAnsi="Calibri" w:cs="Calibri"/>
          <w:sz w:val="22"/>
          <w:szCs w:val="22"/>
          <w:lang w:val="uk-UA"/>
        </w:rPr>
      </w:pPr>
    </w:p>
    <w:p w:rsidR="0081335D" w:rsidRPr="0085229D" w:rsidRDefault="0081335D">
      <w:pPr>
        <w:widowControl/>
        <w:spacing w:after="160" w:line="252" w:lineRule="auto"/>
        <w:ind w:firstLine="539"/>
        <w:jc w:val="both"/>
        <w:rPr>
          <w:sz w:val="22"/>
          <w:szCs w:val="22"/>
          <w:lang w:val="uk-UA"/>
        </w:rPr>
      </w:pPr>
      <w:r w:rsidRPr="0085229D">
        <w:rPr>
          <w:sz w:val="22"/>
          <w:szCs w:val="22"/>
          <w:lang w:val="uk-UA"/>
        </w:rPr>
        <w:t xml:space="preserve">Програма розповсюджується у вигляді </w:t>
      </w:r>
      <w:r w:rsidRPr="0085229D">
        <w:rPr>
          <w:b/>
          <w:bCs/>
          <w:sz w:val="22"/>
          <w:szCs w:val="22"/>
          <w:lang w:val="uk-UA"/>
        </w:rPr>
        <w:t>SETUP.EXE</w:t>
      </w:r>
      <w:r w:rsidRPr="0085229D">
        <w:rPr>
          <w:sz w:val="22"/>
          <w:szCs w:val="22"/>
          <w:lang w:val="uk-UA"/>
        </w:rPr>
        <w:t xml:space="preserve">, який необхідно запустити для початку встановлення програми. </w:t>
      </w:r>
    </w:p>
    <w:p w:rsidR="0081335D" w:rsidRPr="0085229D" w:rsidRDefault="0081335D">
      <w:pPr>
        <w:widowControl/>
        <w:spacing w:after="160" w:line="252" w:lineRule="auto"/>
        <w:ind w:firstLine="539"/>
        <w:jc w:val="both"/>
        <w:rPr>
          <w:sz w:val="22"/>
          <w:szCs w:val="22"/>
          <w:lang w:val="uk-UA"/>
        </w:rPr>
      </w:pPr>
      <w:r w:rsidRPr="0085229D">
        <w:rPr>
          <w:sz w:val="22"/>
          <w:szCs w:val="22"/>
          <w:lang w:val="uk-UA"/>
        </w:rPr>
        <w:t>Програма встановлюється в папку C:\AFRVA (</w:t>
      </w:r>
      <w:r w:rsidRPr="0085229D">
        <w:rPr>
          <w:b/>
          <w:bCs/>
          <w:sz w:val="22"/>
          <w:szCs w:val="22"/>
          <w:lang w:val="uk-UA"/>
        </w:rPr>
        <w:t>може</w:t>
      </w:r>
      <w:r w:rsidRPr="0085229D">
        <w:rPr>
          <w:sz w:val="22"/>
          <w:szCs w:val="22"/>
          <w:lang w:val="uk-UA"/>
        </w:rPr>
        <w:t xml:space="preserve"> бути обраний </w:t>
      </w:r>
      <w:r w:rsidRPr="0085229D">
        <w:rPr>
          <w:b/>
          <w:bCs/>
          <w:sz w:val="22"/>
          <w:szCs w:val="22"/>
          <w:lang w:val="uk-UA"/>
        </w:rPr>
        <w:t>інший</w:t>
      </w:r>
      <w:r w:rsidRPr="0085229D">
        <w:rPr>
          <w:sz w:val="22"/>
          <w:szCs w:val="22"/>
          <w:lang w:val="uk-UA"/>
        </w:rPr>
        <w:t xml:space="preserve"> каталог чи диск, але </w:t>
      </w:r>
      <w:r w:rsidRPr="0085229D">
        <w:rPr>
          <w:b/>
          <w:bCs/>
          <w:sz w:val="22"/>
          <w:szCs w:val="22"/>
          <w:lang w:val="uk-UA"/>
        </w:rPr>
        <w:t>радимо</w:t>
      </w:r>
      <w:r w:rsidRPr="0085229D">
        <w:rPr>
          <w:sz w:val="22"/>
          <w:szCs w:val="22"/>
          <w:lang w:val="uk-UA"/>
        </w:rPr>
        <w:t xml:space="preserve"> використовувати вказаний). Після виконання інсталяції (запуску файлу SETUP.EXE та погодження з ліцензійними умовами) в папці призначення будуть створені такі файл и та папки: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3132"/>
        <w:gridCol w:w="324"/>
        <w:gridCol w:w="6114"/>
      </w:tblGrid>
      <w:tr w:rsidR="0081335D" w:rsidRPr="0085229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81335D" w:rsidRPr="0085229D" w:rsidRDefault="0081335D">
            <w:pPr>
              <w:widowControl/>
              <w:spacing w:after="160" w:line="252" w:lineRule="auto"/>
              <w:jc w:val="both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\Em.mde</w:t>
            </w:r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1335D" w:rsidRPr="0085229D" w:rsidRDefault="0081335D">
            <w:pPr>
              <w:widowControl/>
              <w:spacing w:after="160" w:line="252" w:lineRule="auto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</w:tcPr>
          <w:p w:rsidR="0081335D" w:rsidRPr="0085229D" w:rsidRDefault="0081335D">
            <w:pPr>
              <w:widowControl/>
              <w:spacing w:after="160" w:line="252" w:lineRule="auto"/>
              <w:jc w:val="both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Програма</w:t>
            </w:r>
          </w:p>
        </w:tc>
      </w:tr>
      <w:tr w:rsidR="0081335D" w:rsidRPr="0085229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81335D" w:rsidRPr="0085229D" w:rsidRDefault="0081335D">
            <w:pPr>
              <w:widowControl/>
              <w:spacing w:after="160" w:line="252" w:lineRule="auto"/>
              <w:jc w:val="both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\</w:t>
            </w:r>
            <w:proofErr w:type="spellStart"/>
            <w:r w:rsidRPr="0085229D">
              <w:rPr>
                <w:sz w:val="22"/>
                <w:szCs w:val="22"/>
                <w:lang w:val="uk-UA"/>
              </w:rPr>
              <w:t>db</w:t>
            </w:r>
            <w:proofErr w:type="spellEnd"/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1335D" w:rsidRPr="0085229D" w:rsidRDefault="0081335D">
            <w:pPr>
              <w:widowControl/>
              <w:spacing w:after="160" w:line="252" w:lineRule="auto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</w:tcPr>
          <w:p w:rsidR="0081335D" w:rsidRPr="0085229D" w:rsidRDefault="0081335D">
            <w:pPr>
              <w:widowControl/>
              <w:spacing w:after="160" w:line="252" w:lineRule="auto"/>
              <w:jc w:val="both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Папка зберігання бази даних (database.mdb)</w:t>
            </w:r>
          </w:p>
        </w:tc>
      </w:tr>
      <w:tr w:rsidR="0081335D" w:rsidRPr="0085229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81335D" w:rsidRPr="0085229D" w:rsidRDefault="0081335D">
            <w:pPr>
              <w:widowControl/>
              <w:spacing w:after="160" w:line="252" w:lineRule="auto"/>
              <w:jc w:val="both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\</w:t>
            </w:r>
            <w:proofErr w:type="spellStart"/>
            <w:r w:rsidRPr="0085229D">
              <w:rPr>
                <w:sz w:val="22"/>
                <w:szCs w:val="22"/>
                <w:lang w:val="uk-UA"/>
              </w:rPr>
              <w:t>Export</w:t>
            </w:r>
            <w:proofErr w:type="spellEnd"/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1335D" w:rsidRPr="0085229D" w:rsidRDefault="0081335D">
            <w:pPr>
              <w:widowControl/>
              <w:spacing w:after="160" w:line="252" w:lineRule="auto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</w:tcPr>
          <w:p w:rsidR="0081335D" w:rsidRPr="0085229D" w:rsidRDefault="0081335D">
            <w:pPr>
              <w:widowControl/>
              <w:spacing w:after="160" w:line="252" w:lineRule="auto"/>
              <w:jc w:val="both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Папка експорту report.xml</w:t>
            </w:r>
          </w:p>
        </w:tc>
      </w:tr>
      <w:tr w:rsidR="0081335D" w:rsidRPr="0085229D">
        <w:tblPrEx>
          <w:tblCellMar>
            <w:top w:w="0" w:type="dxa"/>
            <w:bottom w:w="0" w:type="dxa"/>
          </w:tblCellMar>
        </w:tblPrEx>
        <w:trPr>
          <w:jc w:val="center"/>
        </w:trPr>
        <w:tc>
          <w:tcPr>
            <w:tcW w:w="3132" w:type="dxa"/>
            <w:tcBorders>
              <w:top w:val="nil"/>
              <w:left w:val="nil"/>
              <w:bottom w:val="nil"/>
              <w:right w:val="nil"/>
            </w:tcBorders>
          </w:tcPr>
          <w:p w:rsidR="0081335D" w:rsidRPr="0085229D" w:rsidRDefault="0081335D">
            <w:pPr>
              <w:widowControl/>
              <w:spacing w:after="160" w:line="252" w:lineRule="auto"/>
              <w:jc w:val="both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\</w:t>
            </w:r>
            <w:proofErr w:type="spellStart"/>
            <w:r w:rsidRPr="0085229D">
              <w:rPr>
                <w:sz w:val="22"/>
                <w:szCs w:val="22"/>
                <w:lang w:val="uk-UA"/>
              </w:rPr>
              <w:t>ico</w:t>
            </w:r>
            <w:proofErr w:type="spellEnd"/>
          </w:p>
        </w:tc>
        <w:tc>
          <w:tcPr>
            <w:tcW w:w="324" w:type="dxa"/>
            <w:tcBorders>
              <w:top w:val="nil"/>
              <w:left w:val="nil"/>
              <w:bottom w:val="nil"/>
              <w:right w:val="nil"/>
            </w:tcBorders>
          </w:tcPr>
          <w:p w:rsidR="0081335D" w:rsidRPr="0085229D" w:rsidRDefault="0081335D">
            <w:pPr>
              <w:widowControl/>
              <w:spacing w:after="160" w:line="252" w:lineRule="auto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6114" w:type="dxa"/>
            <w:tcBorders>
              <w:top w:val="nil"/>
              <w:left w:val="nil"/>
              <w:bottom w:val="nil"/>
              <w:right w:val="nil"/>
            </w:tcBorders>
          </w:tcPr>
          <w:p w:rsidR="0081335D" w:rsidRPr="0085229D" w:rsidRDefault="0081335D">
            <w:pPr>
              <w:widowControl/>
              <w:spacing w:after="160" w:line="252" w:lineRule="auto"/>
              <w:jc w:val="both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Набір малюнків, які використовуються програмою</w:t>
            </w:r>
          </w:p>
        </w:tc>
      </w:tr>
    </w:tbl>
    <w:p w:rsidR="0081335D" w:rsidRPr="0085229D" w:rsidRDefault="0081335D">
      <w:pPr>
        <w:widowControl/>
        <w:spacing w:after="160" w:line="252" w:lineRule="auto"/>
        <w:jc w:val="both"/>
        <w:rPr>
          <w:sz w:val="22"/>
          <w:szCs w:val="22"/>
          <w:lang w:val="uk-UA"/>
        </w:rPr>
      </w:pPr>
    </w:p>
    <w:p w:rsidR="0081335D" w:rsidRPr="0085229D" w:rsidRDefault="0081335D">
      <w:pPr>
        <w:widowControl/>
        <w:spacing w:after="160" w:line="252" w:lineRule="auto"/>
        <w:jc w:val="both"/>
        <w:rPr>
          <w:sz w:val="22"/>
          <w:szCs w:val="22"/>
          <w:lang w:val="uk-UA"/>
        </w:rPr>
      </w:pPr>
      <w:r w:rsidRPr="0085229D">
        <w:rPr>
          <w:sz w:val="22"/>
          <w:szCs w:val="22"/>
          <w:lang w:val="uk-UA"/>
        </w:rPr>
        <w:t xml:space="preserve">Програма розроблена та постачається виключно для роботи в середовищі MS Access 2000, 2002/ХР, 2003, 2007, 2010, 2013, 2016, 2019 (тільки x86) та MS Access </w:t>
      </w:r>
      <w:proofErr w:type="spellStart"/>
      <w:r w:rsidRPr="0085229D">
        <w:rPr>
          <w:sz w:val="22"/>
          <w:szCs w:val="22"/>
          <w:lang w:val="uk-UA"/>
        </w:rPr>
        <w:t>Runtime</w:t>
      </w:r>
      <w:proofErr w:type="spellEnd"/>
      <w:r w:rsidRPr="0085229D">
        <w:rPr>
          <w:sz w:val="22"/>
          <w:szCs w:val="22"/>
          <w:lang w:val="uk-UA"/>
        </w:rPr>
        <w:t>.</w:t>
      </w:r>
    </w:p>
    <w:p w:rsidR="0081335D" w:rsidRPr="0085229D" w:rsidRDefault="0081335D">
      <w:pPr>
        <w:widowControl/>
        <w:spacing w:before="120" w:after="160" w:line="252" w:lineRule="auto"/>
        <w:ind w:firstLine="539"/>
        <w:jc w:val="both"/>
        <w:rPr>
          <w:sz w:val="22"/>
          <w:szCs w:val="22"/>
          <w:lang w:val="uk-UA"/>
        </w:rPr>
      </w:pPr>
      <w:r w:rsidRPr="0085229D">
        <w:rPr>
          <w:sz w:val="22"/>
          <w:szCs w:val="22"/>
          <w:lang w:val="uk-UA"/>
        </w:rPr>
        <w:t>В папку призначення необхідно помістити ключовий файл KEY.XML, попередньо отриманий у розробника/постачальника.</w:t>
      </w:r>
    </w:p>
    <w:p w:rsidR="0081335D" w:rsidRPr="0085229D" w:rsidRDefault="0081335D">
      <w:pPr>
        <w:widowControl/>
        <w:spacing w:before="120" w:after="160" w:line="252" w:lineRule="auto"/>
        <w:ind w:firstLine="539"/>
        <w:jc w:val="both"/>
        <w:rPr>
          <w:sz w:val="22"/>
          <w:szCs w:val="22"/>
          <w:lang w:val="uk-UA"/>
        </w:rPr>
      </w:pPr>
      <w:r w:rsidRPr="0085229D">
        <w:rPr>
          <w:sz w:val="22"/>
          <w:szCs w:val="22"/>
          <w:lang w:val="uk-UA"/>
        </w:rPr>
        <w:t>Після першого успішного запуску модуля Em.MDE у папці \</w:t>
      </w:r>
      <w:proofErr w:type="spellStart"/>
      <w:r w:rsidRPr="0085229D">
        <w:rPr>
          <w:sz w:val="22"/>
          <w:szCs w:val="22"/>
          <w:lang w:val="uk-UA"/>
        </w:rPr>
        <w:t>db</w:t>
      </w:r>
      <w:proofErr w:type="spellEnd"/>
      <w:r w:rsidRPr="0085229D">
        <w:rPr>
          <w:sz w:val="22"/>
          <w:szCs w:val="22"/>
          <w:lang w:val="uk-UA"/>
        </w:rPr>
        <w:t xml:space="preserve"> програми буде створена БД (файл DATABASE.MDB), яка призначена для збереження всієї сформованої інформації/адміністративних даних. </w:t>
      </w:r>
    </w:p>
    <w:p w:rsidR="0081335D" w:rsidRPr="0085229D" w:rsidRDefault="0081335D" w:rsidP="00B958D9">
      <w:pPr>
        <w:widowControl/>
        <w:numPr>
          <w:ilvl w:val="0"/>
          <w:numId w:val="1"/>
        </w:numPr>
        <w:spacing w:before="120" w:after="160" w:line="252" w:lineRule="auto"/>
        <w:ind w:left="1259" w:hanging="360"/>
        <w:jc w:val="both"/>
        <w:rPr>
          <w:sz w:val="22"/>
          <w:szCs w:val="22"/>
          <w:lang w:val="uk-UA"/>
        </w:rPr>
      </w:pPr>
      <w:r w:rsidRPr="0085229D">
        <w:rPr>
          <w:sz w:val="22"/>
          <w:szCs w:val="22"/>
          <w:lang w:val="uk-UA"/>
        </w:rPr>
        <w:t xml:space="preserve">Програмі необхідно забезпечити повний доступ до папок та файлів програми, а також здатність MS Access виконувати файлові операції (створювати, видаляти папки та файли, виконувати Windows API функції). У разі блокування цих функцій (антивірус, політика безпеки, тощо) при запуску програми може з’явитися відповідне повідомлення. </w:t>
      </w:r>
    </w:p>
    <w:p w:rsidR="0081335D" w:rsidRPr="0085229D" w:rsidRDefault="0081335D" w:rsidP="00211FC5">
      <w:pPr>
        <w:widowControl/>
        <w:spacing w:after="160" w:line="252" w:lineRule="auto"/>
        <w:ind w:firstLine="540"/>
        <w:jc w:val="both"/>
        <w:rPr>
          <w:sz w:val="22"/>
          <w:szCs w:val="22"/>
          <w:lang w:val="uk-UA"/>
        </w:rPr>
      </w:pPr>
      <w:r w:rsidRPr="0085229D">
        <w:rPr>
          <w:sz w:val="22"/>
          <w:szCs w:val="22"/>
          <w:lang w:val="uk-UA"/>
        </w:rPr>
        <w:t>Регіональні налаштування (пуск - панель управління - мова і регіональні налаштування) мають відповідати формату дати ДД.ММ.РРРР (</w:t>
      </w:r>
      <w:proofErr w:type="spellStart"/>
      <w:r w:rsidRPr="0085229D">
        <w:rPr>
          <w:sz w:val="22"/>
          <w:szCs w:val="22"/>
          <w:lang w:val="uk-UA"/>
        </w:rPr>
        <w:t>день.місць.рік</w:t>
      </w:r>
      <w:proofErr w:type="spellEnd"/>
      <w:r w:rsidRPr="0085229D">
        <w:rPr>
          <w:sz w:val="22"/>
          <w:szCs w:val="22"/>
          <w:lang w:val="uk-UA"/>
        </w:rPr>
        <w:t>), а десятковим символом має бути “,” (кома).</w:t>
      </w:r>
    </w:p>
    <w:p w:rsidR="0081335D" w:rsidRPr="0085229D" w:rsidRDefault="0081335D">
      <w:pPr>
        <w:pStyle w:val="1"/>
        <w:keepNext/>
        <w:widowControl/>
        <w:spacing w:before="240"/>
        <w:rPr>
          <w:b/>
          <w:bCs/>
          <w:kern w:val="32"/>
          <w:lang w:val="uk-UA"/>
        </w:rPr>
      </w:pPr>
      <w:r w:rsidRPr="0085229D">
        <w:rPr>
          <w:b/>
          <w:bCs/>
          <w:kern w:val="32"/>
          <w:lang w:val="uk-UA"/>
        </w:rPr>
        <w:t>Перший запуск програми</w:t>
      </w:r>
    </w:p>
    <w:p w:rsidR="0081335D" w:rsidRPr="0085229D" w:rsidRDefault="0081335D">
      <w:pPr>
        <w:widowControl/>
        <w:spacing w:after="160" w:line="252" w:lineRule="auto"/>
        <w:rPr>
          <w:rFonts w:ascii="Calibri" w:hAnsi="Calibri" w:cs="Calibri"/>
          <w:sz w:val="22"/>
          <w:szCs w:val="22"/>
          <w:lang w:val="uk-UA"/>
        </w:rPr>
      </w:pPr>
    </w:p>
    <w:p w:rsidR="0081335D" w:rsidRPr="0085229D" w:rsidRDefault="0081335D">
      <w:pPr>
        <w:widowControl/>
        <w:spacing w:after="160" w:line="252" w:lineRule="auto"/>
        <w:rPr>
          <w:sz w:val="22"/>
          <w:szCs w:val="22"/>
          <w:lang w:val="uk-UA"/>
        </w:rPr>
      </w:pPr>
      <w:r w:rsidRPr="0085229D">
        <w:rPr>
          <w:sz w:val="22"/>
          <w:szCs w:val="22"/>
          <w:lang w:val="uk-UA"/>
        </w:rPr>
        <w:t>При першому запуску програми обов’язково заповніть код ЄДРПОУ та повне найменування суб’єкта :</w:t>
      </w:r>
    </w:p>
    <w:p w:rsidR="0081335D" w:rsidRPr="0085229D" w:rsidRDefault="00416DB2">
      <w:pPr>
        <w:widowControl/>
        <w:spacing w:after="160" w:line="252" w:lineRule="auto"/>
        <w:jc w:val="center"/>
        <w:rPr>
          <w:sz w:val="22"/>
          <w:szCs w:val="22"/>
          <w:lang w:val="uk-UA"/>
        </w:rPr>
      </w:pPr>
      <w:r w:rsidRPr="0085229D">
        <w:rPr>
          <w:rFonts w:ascii="Calibri" w:hAnsi="Calibri" w:cs="Calibri"/>
          <w:noProof/>
          <w:sz w:val="22"/>
          <w:szCs w:val="22"/>
          <w:lang w:val="uk-UA"/>
        </w:rPr>
        <w:drawing>
          <wp:inline distT="0" distB="0" distL="0" distR="0">
            <wp:extent cx="6155690" cy="419100"/>
            <wp:effectExtent l="0" t="0" r="0" b="0"/>
            <wp:docPr id="1" name="Рисунок 1" descr="Imag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Image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55690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51936" w:rsidRPr="0085229D" w:rsidRDefault="00746B7B">
      <w:pPr>
        <w:widowControl/>
        <w:spacing w:before="120" w:line="252" w:lineRule="auto"/>
        <w:ind w:firstLine="539"/>
        <w:jc w:val="both"/>
        <w:rPr>
          <w:lang w:val="uk-UA"/>
        </w:rPr>
      </w:pPr>
      <w:r w:rsidRPr="0085229D">
        <w:rPr>
          <w:sz w:val="22"/>
          <w:szCs w:val="22"/>
          <w:lang w:val="uk-UA"/>
        </w:rPr>
        <w:t>Важливо перевірити, що</w:t>
      </w:r>
      <w:r w:rsidR="00751936" w:rsidRPr="0085229D">
        <w:rPr>
          <w:sz w:val="22"/>
          <w:szCs w:val="22"/>
          <w:lang w:val="uk-UA"/>
        </w:rPr>
        <w:t xml:space="preserve"> значення </w:t>
      </w:r>
      <w:r w:rsidRPr="0085229D">
        <w:rPr>
          <w:sz w:val="22"/>
          <w:szCs w:val="22"/>
          <w:lang w:val="uk-UA"/>
        </w:rPr>
        <w:t xml:space="preserve">текстового </w:t>
      </w:r>
      <w:r w:rsidR="00751936" w:rsidRPr="0085229D">
        <w:rPr>
          <w:sz w:val="22"/>
          <w:szCs w:val="22"/>
          <w:lang w:val="uk-UA"/>
        </w:rPr>
        <w:t xml:space="preserve">поля </w:t>
      </w:r>
      <w:r w:rsidR="00751936" w:rsidRPr="0085229D">
        <w:rPr>
          <w:b/>
          <w:bCs/>
          <w:sz w:val="22"/>
          <w:szCs w:val="22"/>
          <w:lang w:val="uk-UA"/>
        </w:rPr>
        <w:t xml:space="preserve">Повне найменування суб’єкта </w:t>
      </w:r>
      <w:r w:rsidRPr="0085229D">
        <w:rPr>
          <w:sz w:val="22"/>
          <w:szCs w:val="22"/>
          <w:lang w:val="uk-UA"/>
        </w:rPr>
        <w:t>було зазначено вірно та не є по замовченню</w:t>
      </w:r>
      <w:r w:rsidR="00751936" w:rsidRPr="0085229D">
        <w:rPr>
          <w:sz w:val="22"/>
          <w:szCs w:val="22"/>
          <w:lang w:val="uk-UA"/>
        </w:rPr>
        <w:t>.</w:t>
      </w:r>
    </w:p>
    <w:p w:rsidR="0081335D" w:rsidRPr="0085229D" w:rsidRDefault="0081335D">
      <w:pPr>
        <w:widowControl/>
        <w:spacing w:before="120" w:line="252" w:lineRule="auto"/>
        <w:ind w:firstLine="539"/>
        <w:jc w:val="both"/>
        <w:rPr>
          <w:sz w:val="22"/>
          <w:szCs w:val="22"/>
          <w:lang w:val="uk-UA"/>
        </w:rPr>
      </w:pPr>
      <w:r w:rsidRPr="0085229D">
        <w:rPr>
          <w:sz w:val="22"/>
          <w:szCs w:val="22"/>
          <w:lang w:val="uk-UA"/>
        </w:rPr>
        <w:t xml:space="preserve">Для подальшої роботи  оберіть період формування інформації. Для цього заповніть </w:t>
      </w:r>
      <w:r w:rsidRPr="0085229D">
        <w:rPr>
          <w:b/>
          <w:bCs/>
          <w:sz w:val="22"/>
          <w:szCs w:val="22"/>
          <w:lang w:val="uk-UA"/>
        </w:rPr>
        <w:t>Дату початку</w:t>
      </w:r>
      <w:r w:rsidRPr="0085229D">
        <w:rPr>
          <w:sz w:val="22"/>
          <w:szCs w:val="22"/>
          <w:lang w:val="uk-UA"/>
        </w:rPr>
        <w:t xml:space="preserve"> та </w:t>
      </w:r>
      <w:r w:rsidRPr="0085229D">
        <w:rPr>
          <w:b/>
          <w:bCs/>
          <w:sz w:val="22"/>
          <w:szCs w:val="22"/>
          <w:lang w:val="uk-UA"/>
        </w:rPr>
        <w:t>Дату закінчення звітного періоду</w:t>
      </w:r>
      <w:r w:rsidRPr="0085229D">
        <w:rPr>
          <w:sz w:val="22"/>
          <w:szCs w:val="22"/>
          <w:lang w:val="uk-UA"/>
        </w:rPr>
        <w:t>. Зверніть увагу на нео</w:t>
      </w:r>
      <w:r w:rsidR="0085229D">
        <w:rPr>
          <w:sz w:val="22"/>
          <w:szCs w:val="22"/>
          <w:lang w:val="uk-UA"/>
        </w:rPr>
        <w:t>б</w:t>
      </w:r>
      <w:r w:rsidRPr="0085229D">
        <w:rPr>
          <w:sz w:val="22"/>
          <w:szCs w:val="22"/>
          <w:lang w:val="uk-UA"/>
        </w:rPr>
        <w:t xml:space="preserve">хідність обов’язкового заповнення реквізитів </w:t>
      </w:r>
      <w:r w:rsidRPr="0085229D">
        <w:rPr>
          <w:b/>
          <w:bCs/>
          <w:sz w:val="22"/>
          <w:szCs w:val="22"/>
          <w:lang w:val="uk-UA"/>
        </w:rPr>
        <w:t>Вихідний номер</w:t>
      </w:r>
      <w:r w:rsidRPr="0085229D">
        <w:rPr>
          <w:sz w:val="22"/>
          <w:szCs w:val="22"/>
          <w:lang w:val="uk-UA"/>
        </w:rPr>
        <w:t xml:space="preserve"> і </w:t>
      </w:r>
      <w:r w:rsidRPr="0085229D">
        <w:rPr>
          <w:b/>
          <w:bCs/>
          <w:sz w:val="22"/>
          <w:szCs w:val="22"/>
          <w:lang w:val="uk-UA"/>
        </w:rPr>
        <w:t>Дати реєстрації суб’єкт</w:t>
      </w:r>
      <w:r w:rsidR="005260DD" w:rsidRPr="0085229D">
        <w:rPr>
          <w:b/>
          <w:bCs/>
          <w:sz w:val="22"/>
          <w:szCs w:val="22"/>
          <w:lang w:val="uk-UA"/>
        </w:rPr>
        <w:t>ом</w:t>
      </w:r>
      <w:r w:rsidRPr="0085229D">
        <w:rPr>
          <w:b/>
          <w:bCs/>
          <w:sz w:val="22"/>
          <w:szCs w:val="22"/>
          <w:lang w:val="uk-UA"/>
        </w:rPr>
        <w:t xml:space="preserve"> розкриття</w:t>
      </w:r>
      <w:r w:rsidRPr="0085229D">
        <w:rPr>
          <w:sz w:val="22"/>
          <w:szCs w:val="22"/>
          <w:lang w:val="uk-UA"/>
        </w:rPr>
        <w:t xml:space="preserve"> </w:t>
      </w:r>
      <w:r w:rsidR="005260DD" w:rsidRPr="0085229D">
        <w:rPr>
          <w:b/>
          <w:bCs/>
          <w:sz w:val="22"/>
          <w:szCs w:val="22"/>
          <w:lang w:val="uk-UA"/>
        </w:rPr>
        <w:t>ЕД</w:t>
      </w:r>
      <w:r w:rsidRPr="0085229D">
        <w:rPr>
          <w:sz w:val="22"/>
          <w:szCs w:val="22"/>
          <w:lang w:val="uk-UA"/>
        </w:rPr>
        <w:t>(ці данні подаються до Комісії).</w:t>
      </w:r>
    </w:p>
    <w:p w:rsidR="0081335D" w:rsidRPr="0085229D" w:rsidRDefault="0081335D">
      <w:pPr>
        <w:pStyle w:val="1"/>
        <w:keepNext/>
        <w:widowControl/>
        <w:spacing w:before="240"/>
        <w:rPr>
          <w:b/>
          <w:bCs/>
          <w:kern w:val="32"/>
          <w:lang w:val="uk-UA"/>
        </w:rPr>
      </w:pPr>
      <w:r w:rsidRPr="0085229D">
        <w:rPr>
          <w:b/>
          <w:bCs/>
          <w:kern w:val="32"/>
          <w:lang w:val="uk-UA"/>
        </w:rPr>
        <w:t xml:space="preserve">Формування файлу звіту report.xml  </w:t>
      </w:r>
    </w:p>
    <w:p w:rsidR="0081335D" w:rsidRPr="0085229D" w:rsidRDefault="0081335D">
      <w:pPr>
        <w:widowControl/>
        <w:spacing w:after="160" w:line="252" w:lineRule="auto"/>
        <w:rPr>
          <w:rFonts w:ascii="Calibri" w:hAnsi="Calibri" w:cs="Calibri"/>
          <w:sz w:val="22"/>
          <w:szCs w:val="22"/>
          <w:lang w:val="uk-UA"/>
        </w:rPr>
      </w:pPr>
    </w:p>
    <w:p w:rsidR="0081335D" w:rsidRPr="0085229D" w:rsidRDefault="0081335D" w:rsidP="00B958D9">
      <w:pPr>
        <w:widowControl/>
        <w:numPr>
          <w:ilvl w:val="0"/>
          <w:numId w:val="2"/>
        </w:numPr>
        <w:spacing w:after="160" w:line="252" w:lineRule="auto"/>
        <w:ind w:left="720" w:hanging="360"/>
        <w:rPr>
          <w:sz w:val="22"/>
          <w:szCs w:val="22"/>
          <w:lang w:val="uk-UA"/>
        </w:rPr>
      </w:pPr>
      <w:r w:rsidRPr="0085229D">
        <w:rPr>
          <w:sz w:val="22"/>
          <w:szCs w:val="22"/>
          <w:lang w:val="uk-UA"/>
        </w:rPr>
        <w:t>Для формування звіту виберіть документ з вищеперерахованих</w:t>
      </w:r>
      <w:r w:rsidR="005260DD" w:rsidRPr="0085229D">
        <w:rPr>
          <w:sz w:val="22"/>
          <w:szCs w:val="22"/>
          <w:lang w:val="uk-UA"/>
        </w:rPr>
        <w:t xml:space="preserve"> у першій частині цієї Інструкції</w:t>
      </w:r>
      <w:r w:rsidRPr="0085229D">
        <w:rPr>
          <w:sz w:val="22"/>
          <w:szCs w:val="22"/>
          <w:lang w:val="uk-UA"/>
        </w:rPr>
        <w:t>, натиснувши двічі лівою кнопкою миші по його назві.</w:t>
      </w:r>
    </w:p>
    <w:p w:rsidR="0081335D" w:rsidRPr="0085229D" w:rsidRDefault="0081335D" w:rsidP="00B958D9">
      <w:pPr>
        <w:widowControl/>
        <w:numPr>
          <w:ilvl w:val="0"/>
          <w:numId w:val="2"/>
        </w:numPr>
        <w:spacing w:after="160" w:line="252" w:lineRule="auto"/>
        <w:ind w:left="720" w:hanging="360"/>
        <w:rPr>
          <w:sz w:val="22"/>
          <w:szCs w:val="22"/>
          <w:lang w:val="uk-UA"/>
        </w:rPr>
      </w:pPr>
      <w:r w:rsidRPr="0085229D">
        <w:rPr>
          <w:sz w:val="22"/>
          <w:szCs w:val="22"/>
          <w:lang w:val="uk-UA"/>
        </w:rPr>
        <w:t>Заповнюйте інформацію згідно з таблицею допустимих значень (Додаток 1).</w:t>
      </w:r>
    </w:p>
    <w:p w:rsidR="0081335D" w:rsidRPr="0085229D" w:rsidRDefault="0081335D" w:rsidP="00B958D9">
      <w:pPr>
        <w:widowControl/>
        <w:numPr>
          <w:ilvl w:val="0"/>
          <w:numId w:val="2"/>
        </w:numPr>
        <w:spacing w:before="120" w:after="160" w:line="252" w:lineRule="auto"/>
        <w:ind w:left="720" w:hanging="360"/>
        <w:jc w:val="both"/>
        <w:rPr>
          <w:sz w:val="22"/>
          <w:szCs w:val="22"/>
          <w:lang w:val="uk-UA"/>
        </w:rPr>
      </w:pPr>
      <w:r w:rsidRPr="0085229D">
        <w:rPr>
          <w:sz w:val="22"/>
          <w:szCs w:val="22"/>
          <w:lang w:val="uk-UA"/>
        </w:rPr>
        <w:t xml:space="preserve">Інформація щодо наявності </w:t>
      </w:r>
      <w:proofErr w:type="spellStart"/>
      <w:r w:rsidRPr="0085229D">
        <w:rPr>
          <w:sz w:val="22"/>
          <w:szCs w:val="22"/>
          <w:lang w:val="uk-UA"/>
        </w:rPr>
        <w:t>зв’язків</w:t>
      </w:r>
      <w:proofErr w:type="spellEnd"/>
      <w:r w:rsidRPr="0085229D">
        <w:rPr>
          <w:sz w:val="22"/>
          <w:szCs w:val="22"/>
          <w:lang w:val="uk-UA"/>
        </w:rPr>
        <w:t xml:space="preserve"> з іноземними державами зони ризику може бути подана по всім звітним документам одним файлом.</w:t>
      </w:r>
    </w:p>
    <w:p w:rsidR="0081335D" w:rsidRPr="0085229D" w:rsidRDefault="0081335D" w:rsidP="00B958D9">
      <w:pPr>
        <w:widowControl/>
        <w:numPr>
          <w:ilvl w:val="0"/>
          <w:numId w:val="2"/>
        </w:numPr>
        <w:spacing w:before="120" w:after="160" w:line="252" w:lineRule="auto"/>
        <w:ind w:left="720" w:hanging="360"/>
        <w:jc w:val="both"/>
        <w:rPr>
          <w:sz w:val="22"/>
          <w:szCs w:val="22"/>
          <w:lang w:val="uk-UA"/>
        </w:rPr>
      </w:pPr>
      <w:r w:rsidRPr="0085229D">
        <w:rPr>
          <w:sz w:val="22"/>
          <w:szCs w:val="22"/>
          <w:lang w:val="uk-UA"/>
        </w:rPr>
        <w:t>Натисніть на кнопку «Сформувати звіт», щоб підготувати файл report.xml.</w:t>
      </w:r>
    </w:p>
    <w:p w:rsidR="0081335D" w:rsidRPr="0085229D" w:rsidRDefault="0081335D" w:rsidP="00B958D9">
      <w:pPr>
        <w:widowControl/>
        <w:numPr>
          <w:ilvl w:val="0"/>
          <w:numId w:val="2"/>
        </w:numPr>
        <w:spacing w:before="120" w:after="160" w:line="252" w:lineRule="auto"/>
        <w:ind w:left="720" w:hanging="360"/>
        <w:jc w:val="both"/>
        <w:rPr>
          <w:sz w:val="22"/>
          <w:szCs w:val="22"/>
          <w:lang w:val="uk-UA"/>
        </w:rPr>
      </w:pPr>
      <w:r w:rsidRPr="0085229D">
        <w:rPr>
          <w:sz w:val="22"/>
          <w:szCs w:val="22"/>
          <w:lang w:val="uk-UA"/>
        </w:rPr>
        <w:t>У разі відсутності даних інформація в таблиці не заповнюється.</w:t>
      </w:r>
    </w:p>
    <w:p w:rsidR="0081335D" w:rsidRPr="0085229D" w:rsidRDefault="0081335D" w:rsidP="0081335D">
      <w:pPr>
        <w:widowControl/>
        <w:numPr>
          <w:ilvl w:val="0"/>
          <w:numId w:val="2"/>
        </w:numPr>
        <w:spacing w:before="120" w:after="160" w:line="252" w:lineRule="auto"/>
        <w:ind w:left="720" w:hanging="360"/>
        <w:jc w:val="both"/>
        <w:rPr>
          <w:sz w:val="22"/>
          <w:szCs w:val="22"/>
          <w:lang w:val="uk-UA"/>
        </w:rPr>
      </w:pPr>
      <w:r w:rsidRPr="0085229D">
        <w:rPr>
          <w:sz w:val="22"/>
          <w:szCs w:val="22"/>
          <w:lang w:val="uk-UA"/>
        </w:rPr>
        <w:t xml:space="preserve">Зверніть увагу на розмірності даних </w:t>
      </w:r>
      <w:r w:rsidR="001A5E00" w:rsidRPr="0085229D">
        <w:rPr>
          <w:sz w:val="22"/>
          <w:szCs w:val="22"/>
          <w:lang w:val="uk-UA"/>
        </w:rPr>
        <w:t>у</w:t>
      </w:r>
      <w:r w:rsidRPr="0085229D">
        <w:rPr>
          <w:sz w:val="22"/>
          <w:szCs w:val="22"/>
          <w:lang w:val="uk-UA"/>
        </w:rPr>
        <w:t xml:space="preserve"> таблиці нижче: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419"/>
        <w:gridCol w:w="2420"/>
        <w:gridCol w:w="1932"/>
        <w:gridCol w:w="2908"/>
      </w:tblGrid>
      <w:tr w:rsidR="0081335D" w:rsidRPr="0085229D" w:rsidTr="00211FC5">
        <w:tblPrEx>
          <w:tblCellMar>
            <w:top w:w="0" w:type="dxa"/>
            <w:bottom w:w="0" w:type="dxa"/>
          </w:tblCellMar>
        </w:tblPrEx>
        <w:trPr>
          <w:trHeight w:val="590"/>
        </w:trPr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5D" w:rsidRPr="0085229D" w:rsidRDefault="0081335D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85229D">
              <w:rPr>
                <w:b/>
                <w:bCs/>
                <w:sz w:val="22"/>
                <w:szCs w:val="22"/>
                <w:lang w:val="uk-UA"/>
              </w:rPr>
              <w:t>Ознака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5D" w:rsidRPr="0085229D" w:rsidRDefault="0081335D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85229D">
              <w:rPr>
                <w:b/>
                <w:bCs/>
                <w:sz w:val="22"/>
                <w:szCs w:val="22"/>
                <w:lang w:val="uk-UA"/>
              </w:rPr>
              <w:t>Приклад назви поля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5D" w:rsidRPr="0085229D" w:rsidRDefault="0081335D">
            <w:pPr>
              <w:widowControl/>
              <w:spacing w:before="120"/>
              <w:jc w:val="center"/>
              <w:rPr>
                <w:b/>
                <w:bCs/>
                <w:sz w:val="22"/>
                <w:szCs w:val="22"/>
                <w:lang w:val="uk-UA"/>
              </w:rPr>
            </w:pPr>
            <w:r w:rsidRPr="0085229D">
              <w:rPr>
                <w:b/>
                <w:bCs/>
                <w:sz w:val="22"/>
                <w:szCs w:val="22"/>
                <w:lang w:val="uk-UA"/>
              </w:rPr>
              <w:t>Приклад значення поля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35D" w:rsidRPr="0085229D" w:rsidRDefault="0081335D">
            <w:pPr>
              <w:widowControl/>
              <w:spacing w:before="120"/>
              <w:jc w:val="both"/>
              <w:rPr>
                <w:b/>
                <w:bCs/>
                <w:sz w:val="22"/>
                <w:szCs w:val="22"/>
                <w:lang w:val="uk-UA"/>
              </w:rPr>
            </w:pPr>
            <w:r w:rsidRPr="0085229D">
              <w:rPr>
                <w:b/>
                <w:bCs/>
                <w:sz w:val="22"/>
                <w:szCs w:val="22"/>
                <w:lang w:val="uk-UA"/>
              </w:rPr>
              <w:t>Обмеження вводу</w:t>
            </w:r>
          </w:p>
        </w:tc>
      </w:tr>
      <w:tr w:rsidR="0081335D" w:rsidRPr="0085229D" w:rsidTr="00211FC5">
        <w:tblPrEx>
          <w:tblCellMar>
            <w:top w:w="0" w:type="dxa"/>
            <w:bottom w:w="0" w:type="dxa"/>
          </w:tblCellMar>
        </w:tblPrEx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5D" w:rsidRPr="0085229D" w:rsidRDefault="0081335D" w:rsidP="0081335D">
            <w:pPr>
              <w:widowControl/>
              <w:spacing w:before="120"/>
              <w:jc w:val="center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Коди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5D" w:rsidRPr="0085229D" w:rsidRDefault="0081335D" w:rsidP="0081335D">
            <w:pPr>
              <w:widowControl/>
              <w:spacing w:before="120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Код ЄДРПОУ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5D" w:rsidRPr="0085229D" w:rsidRDefault="0081335D" w:rsidP="0081335D">
            <w:pPr>
              <w:widowControl/>
              <w:spacing w:before="120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12345678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35D" w:rsidRPr="0085229D" w:rsidRDefault="0081335D" w:rsidP="0081335D">
            <w:pPr>
              <w:widowControl/>
              <w:spacing w:before="120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Встановлюється відповідно до структури коду.</w:t>
            </w:r>
          </w:p>
        </w:tc>
      </w:tr>
      <w:tr w:rsidR="0081335D" w:rsidRPr="0085229D" w:rsidTr="00211FC5">
        <w:tblPrEx>
          <w:tblCellMar>
            <w:top w:w="0" w:type="dxa"/>
            <w:bottom w:w="0" w:type="dxa"/>
          </w:tblCellMar>
        </w:tblPrEx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5D" w:rsidRPr="0085229D" w:rsidRDefault="0081335D" w:rsidP="0081335D">
            <w:pPr>
              <w:widowControl/>
              <w:spacing w:before="120"/>
              <w:jc w:val="center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Імена та назви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5D" w:rsidRPr="0085229D" w:rsidRDefault="0081335D" w:rsidP="0081335D">
            <w:pPr>
              <w:widowControl/>
              <w:spacing w:before="120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Громадянство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5D" w:rsidRPr="0085229D" w:rsidRDefault="0081335D" w:rsidP="0081335D">
            <w:pPr>
              <w:widowControl/>
              <w:spacing w:before="120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Росія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35D" w:rsidRPr="0085229D" w:rsidRDefault="0081335D" w:rsidP="0081335D">
            <w:pPr>
              <w:widowControl/>
              <w:spacing w:before="120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Максимально допустима кількість знаків текстового значення– 254 символи</w:t>
            </w:r>
          </w:p>
        </w:tc>
      </w:tr>
      <w:tr w:rsidR="0081335D" w:rsidRPr="0085229D" w:rsidTr="00211FC5">
        <w:tblPrEx>
          <w:tblCellMar>
            <w:top w:w="0" w:type="dxa"/>
            <w:bottom w:w="0" w:type="dxa"/>
          </w:tblCellMar>
        </w:tblPrEx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5D" w:rsidRPr="0085229D" w:rsidRDefault="0081335D" w:rsidP="0081335D">
            <w:pPr>
              <w:widowControl/>
              <w:spacing w:before="120"/>
              <w:jc w:val="center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Примітки та описи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5D" w:rsidRPr="0085229D" w:rsidRDefault="0081335D" w:rsidP="0081335D">
            <w:pPr>
              <w:widowControl/>
              <w:spacing w:before="120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Примітка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5D" w:rsidRPr="0085229D" w:rsidRDefault="0081335D" w:rsidP="0081335D">
            <w:pPr>
              <w:widowControl/>
              <w:spacing w:before="120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Довільний текст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35D" w:rsidRPr="0085229D" w:rsidRDefault="0081335D" w:rsidP="0081335D">
            <w:pPr>
              <w:widowControl/>
              <w:spacing w:before="120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Без обмежень</w:t>
            </w:r>
          </w:p>
        </w:tc>
      </w:tr>
      <w:tr w:rsidR="0081335D" w:rsidRPr="0085229D" w:rsidTr="00211FC5">
        <w:tblPrEx>
          <w:tblCellMar>
            <w:top w:w="0" w:type="dxa"/>
            <w:bottom w:w="0" w:type="dxa"/>
          </w:tblCellMar>
        </w:tblPrEx>
        <w:tc>
          <w:tcPr>
            <w:tcW w:w="241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5D" w:rsidRPr="0085229D" w:rsidRDefault="0081335D" w:rsidP="0081335D">
            <w:pPr>
              <w:widowControl/>
              <w:spacing w:before="120"/>
              <w:jc w:val="center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Цілі числа та числові дані с десятковим знаком</w:t>
            </w:r>
          </w:p>
        </w:tc>
        <w:tc>
          <w:tcPr>
            <w:tcW w:w="2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5D" w:rsidRPr="0085229D" w:rsidRDefault="0081335D" w:rsidP="0081335D">
            <w:pPr>
              <w:widowControl/>
              <w:spacing w:before="120"/>
              <w:rPr>
                <w:sz w:val="22"/>
                <w:szCs w:val="22"/>
                <w:lang w:val="uk-UA"/>
              </w:rPr>
            </w:pPr>
            <w:r w:rsidRPr="0085229D">
              <w:rPr>
                <w:color w:val="000000"/>
                <w:sz w:val="22"/>
                <w:szCs w:val="22"/>
                <w:lang w:val="uk-UA"/>
              </w:rPr>
              <w:t>Кількість акцій товариства, що прямо чи опосередковано належать особі</w:t>
            </w:r>
          </w:p>
        </w:tc>
        <w:tc>
          <w:tcPr>
            <w:tcW w:w="1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1335D" w:rsidRPr="0085229D" w:rsidRDefault="0081335D" w:rsidP="0081335D">
            <w:pPr>
              <w:widowControl/>
              <w:spacing w:before="120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10 або 10,0</w:t>
            </w:r>
          </w:p>
        </w:tc>
        <w:tc>
          <w:tcPr>
            <w:tcW w:w="2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81335D" w:rsidRPr="0085229D" w:rsidRDefault="0081335D" w:rsidP="0081335D">
            <w:pPr>
              <w:widowControl/>
              <w:spacing w:before="120"/>
              <w:rPr>
                <w:sz w:val="22"/>
                <w:szCs w:val="22"/>
                <w:lang w:val="uk-UA"/>
              </w:rPr>
            </w:pPr>
            <w:r w:rsidRPr="0085229D">
              <w:rPr>
                <w:sz w:val="22"/>
                <w:szCs w:val="22"/>
                <w:lang w:val="uk-UA"/>
              </w:rPr>
              <w:t>Числове значення с десятковим знаками після коми. Кількість десяткових знаків не обумовлен</w:t>
            </w:r>
            <w:r w:rsidR="005260DD" w:rsidRPr="0085229D">
              <w:rPr>
                <w:sz w:val="22"/>
                <w:szCs w:val="22"/>
                <w:lang w:val="uk-UA"/>
              </w:rPr>
              <w:t>а</w:t>
            </w:r>
            <w:r w:rsidRPr="0085229D">
              <w:rPr>
                <w:sz w:val="22"/>
                <w:szCs w:val="22"/>
                <w:lang w:val="uk-UA"/>
              </w:rPr>
              <w:t>.</w:t>
            </w:r>
          </w:p>
        </w:tc>
      </w:tr>
    </w:tbl>
    <w:p w:rsidR="00117293" w:rsidRPr="0085229D" w:rsidRDefault="00117293" w:rsidP="00211FC5">
      <w:pPr>
        <w:widowControl/>
        <w:spacing w:after="160" w:line="252" w:lineRule="auto"/>
        <w:rPr>
          <w:sz w:val="22"/>
          <w:szCs w:val="22"/>
          <w:lang w:val="uk-UA"/>
        </w:rPr>
      </w:pPr>
    </w:p>
    <w:sectPr w:rsidR="00117293" w:rsidRPr="0085229D">
      <w:pgSz w:w="12240" w:h="15840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215878EE"/>
    <w:lvl w:ilvl="0">
      <w:numFmt w:val="bullet"/>
      <w:lvlText w:val="*"/>
      <w:lvlJc w:val="left"/>
    </w:lvl>
  </w:abstractNum>
  <w:abstractNum w:abstractNumId="1" w15:restartNumberingAfterBreak="0">
    <w:nsid w:val="530405B3"/>
    <w:multiLevelType w:val="singleLevel"/>
    <w:tmpl w:val="9C8AEC34"/>
    <w:lvl w:ilvl="0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648B7C2F"/>
    <w:multiLevelType w:val="hybridMultilevel"/>
    <w:tmpl w:val="07A6DF4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46207282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2" w16cid:durableId="1094013123">
    <w:abstractNumId w:val="1"/>
  </w:num>
  <w:num w:numId="3" w16cid:durableId="41047179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embedSystemFonts/>
  <w:bordersDoNotSurroundHeader/>
  <w:bordersDoNotSurroundFooter/>
  <w:proofState w:spelling="clean" w:grammar="clean"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958D9"/>
    <w:rsid w:val="00117293"/>
    <w:rsid w:val="001A5E00"/>
    <w:rsid w:val="00211FC5"/>
    <w:rsid w:val="00416DB2"/>
    <w:rsid w:val="005260DD"/>
    <w:rsid w:val="00746B7B"/>
    <w:rsid w:val="00751936"/>
    <w:rsid w:val="0081335D"/>
    <w:rsid w:val="0085229D"/>
    <w:rsid w:val="008E2E5B"/>
    <w:rsid w:val="00B958D9"/>
    <w:rsid w:val="00F2053B"/>
    <w:rsid w:val="00FE0B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."/>
  <w:listSeparator w:val=","/>
  <w14:defaultImageDpi w14:val="0"/>
  <w15:docId w15:val="{B215B045-0F09-4452-B731-26E379201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styleId="1">
    <w:name w:val="heading 1"/>
    <w:basedOn w:val="a"/>
    <w:next w:val="a"/>
    <w:link w:val="10"/>
    <w:uiPriority w:val="99"/>
    <w:qFormat/>
    <w:pPr>
      <w:outlineLvl w:val="0"/>
    </w:p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libri Light" w:eastAsia="Times New Roman" w:hAnsi="Calibri Light" w:cs="Times New Roman"/>
      <w:color w:val="2F5496"/>
      <w:sz w:val="32"/>
      <w:szCs w:val="32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  <w:pixelsPerInch w:val="144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179</TotalTime>
  <Pages>1</Pages>
  <Words>899</Words>
  <Characters>5125</Characters>
  <Application>Microsoft Office Word</Application>
  <DocSecurity>0</DocSecurity>
  <Lines>42</Lines>
  <Paragraphs>12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Роман Прилипко</dc:creator>
  <cp:keywords/>
  <dc:description/>
  <cp:lastModifiedBy>Роман Прилипко</cp:lastModifiedBy>
  <cp:revision>7</cp:revision>
  <dcterms:created xsi:type="dcterms:W3CDTF">2023-05-10T09:06:00Z</dcterms:created>
  <dcterms:modified xsi:type="dcterms:W3CDTF">2023-05-10T09:06:00Z</dcterms:modified>
</cp:coreProperties>
</file>