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478E" w14:textId="77777777" w:rsidR="00AD20B4" w:rsidRPr="00AD20B4" w:rsidRDefault="00AD20B4" w:rsidP="00AD20B4">
      <w:pPr>
        <w:pStyle w:val="Default"/>
        <w:jc w:val="right"/>
      </w:pPr>
      <w:r w:rsidRPr="00AD20B4">
        <w:t>ЗАТВЕРДЖЕНО</w:t>
      </w:r>
    </w:p>
    <w:p w14:paraId="433FD92B" w14:textId="28B3F608" w:rsidR="00AD20B4" w:rsidRPr="00AD20B4" w:rsidRDefault="00AD20B4" w:rsidP="00AD20B4">
      <w:pPr>
        <w:pStyle w:val="Default"/>
        <w:jc w:val="right"/>
      </w:pPr>
      <w:r w:rsidRPr="00AD20B4">
        <w:t>(</w:t>
      </w:r>
      <w:proofErr w:type="spellStart"/>
      <w:r w:rsidRPr="00AD20B4">
        <w:t>Рішення</w:t>
      </w:r>
      <w:proofErr w:type="spellEnd"/>
      <w:r w:rsidRPr="00AD20B4">
        <w:t xml:space="preserve"> №</w:t>
      </w:r>
      <w:r w:rsidR="00006725">
        <w:rPr>
          <w:lang w:val="uk-UA"/>
        </w:rPr>
        <w:t>01</w:t>
      </w:r>
      <w:r w:rsidRPr="00AD20B4">
        <w:t>/</w:t>
      </w:r>
      <w:r w:rsidR="00006725">
        <w:rPr>
          <w:lang w:val="uk-UA"/>
        </w:rPr>
        <w:t>10</w:t>
      </w:r>
      <w:r w:rsidRPr="00AD20B4">
        <w:t xml:space="preserve"> </w:t>
      </w:r>
      <w:proofErr w:type="spellStart"/>
      <w:r w:rsidRPr="00AD20B4">
        <w:t>від</w:t>
      </w:r>
      <w:proofErr w:type="spellEnd"/>
      <w:r w:rsidRPr="00AD20B4">
        <w:t xml:space="preserve"> </w:t>
      </w:r>
      <w:r w:rsidR="00006725">
        <w:rPr>
          <w:lang w:val="uk-UA"/>
        </w:rPr>
        <w:t>01</w:t>
      </w:r>
      <w:r w:rsidRPr="00AD20B4">
        <w:t>.</w:t>
      </w:r>
      <w:r w:rsidR="00006725">
        <w:rPr>
          <w:lang w:val="uk-UA"/>
        </w:rPr>
        <w:t>10</w:t>
      </w:r>
      <w:r w:rsidRPr="00AD20B4">
        <w:t xml:space="preserve">.2024 </w:t>
      </w:r>
      <w:proofErr w:type="gramStart"/>
      <w:r w:rsidRPr="00AD20B4">
        <w:t>року )</w:t>
      </w:r>
      <w:proofErr w:type="gramEnd"/>
    </w:p>
    <w:p w14:paraId="037B2483" w14:textId="1A794A74" w:rsidR="00AD20B4" w:rsidRPr="00AD20B4" w:rsidRDefault="00AD20B4" w:rsidP="00AD20B4">
      <w:pPr>
        <w:pStyle w:val="Default"/>
        <w:jc w:val="right"/>
        <w:rPr>
          <w:lang w:val="uk-UA"/>
        </w:rPr>
      </w:pPr>
      <w:r w:rsidRPr="00AD20B4">
        <w:t>«</w:t>
      </w:r>
      <w:r w:rsidR="00006725">
        <w:rPr>
          <w:lang w:val="uk-UA"/>
        </w:rPr>
        <w:t>01</w:t>
      </w:r>
      <w:r w:rsidRPr="00AD20B4">
        <w:t xml:space="preserve">» </w:t>
      </w:r>
      <w:r w:rsidR="00006725">
        <w:rPr>
          <w:lang w:val="uk-UA"/>
        </w:rPr>
        <w:t>жовтня</w:t>
      </w:r>
      <w:r w:rsidRPr="00AD20B4">
        <w:t xml:space="preserve"> 2024 року</w:t>
      </w:r>
    </w:p>
    <w:p w14:paraId="5C5316D0" w14:textId="77777777" w:rsidR="00FA705A" w:rsidRDefault="00FA705A" w:rsidP="00FA705A">
      <w:pPr>
        <w:pStyle w:val="Default"/>
        <w:rPr>
          <w:lang w:val="uk-UA"/>
        </w:rPr>
      </w:pPr>
    </w:p>
    <w:p w14:paraId="3693BD1B" w14:textId="77777777" w:rsidR="00AD20B4" w:rsidRPr="00173AD5" w:rsidRDefault="00AD20B4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4F3D3CDE" w:rsidR="00FA705A" w:rsidRPr="00A4380B" w:rsidRDefault="00A4380B" w:rsidP="00BE211F">
            <w:pPr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438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«Актуальні патології опорно-рухового апарату. Нові можливості в лікуванні.»</w:t>
            </w:r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D9BBB88" w14:textId="2D4FA3B0" w:rsidR="00FA705A" w:rsidRPr="00323B72" w:rsidRDefault="00F65056" w:rsidP="00323B72">
            <w:pPr>
              <w:jc w:val="both"/>
            </w:pPr>
            <w:r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73AD5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FB7B04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</w:p>
        </w:tc>
      </w:tr>
      <w:tr w:rsidR="00FA705A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7D0ED14B" w:rsidR="00FA705A" w:rsidRPr="00DC420D" w:rsidRDefault="00DC420D" w:rsidP="00683F89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методики </w:t>
            </w:r>
            <w:proofErr w:type="spellStart"/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>тропоколагенової</w:t>
            </w:r>
            <w:proofErr w:type="spellEnd"/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і </w:t>
            </w:r>
            <w:proofErr w:type="spellStart"/>
            <w:r w:rsidR="00994964">
              <w:rPr>
                <w:b w:val="0"/>
                <w:color w:val="000000"/>
                <w:sz w:val="22"/>
                <w:szCs w:val="22"/>
                <w:lang w:val="uk-UA"/>
              </w:rPr>
              <w:t>ентезопатій</w:t>
            </w:r>
            <w:proofErr w:type="spellEnd"/>
            <w:r w:rsidR="00066699">
              <w:rPr>
                <w:b w:val="0"/>
                <w:color w:val="000000"/>
                <w:sz w:val="22"/>
                <w:szCs w:val="22"/>
                <w:lang w:val="uk-UA"/>
              </w:rPr>
              <w:t xml:space="preserve"> та структур верхньої кінцівки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0A4101D" w14:textId="1C3D5834" w:rsidR="00FA705A" w:rsidRDefault="00BE2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2,5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6488C408" w14:textId="1F116FE5" w:rsidR="00FA705A" w:rsidRDefault="00BE21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ини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Лекція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та </w:t>
            </w:r>
            <w:proofErr w:type="spellStart"/>
            <w:r>
              <w:rPr>
                <w:sz w:val="23"/>
                <w:szCs w:val="23"/>
              </w:rPr>
              <w:t>розб</w:t>
            </w:r>
            <w:r>
              <w:rPr>
                <w:sz w:val="23"/>
                <w:szCs w:val="23"/>
                <w:lang w:val="uk-UA"/>
              </w:rPr>
              <w:t>ір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proofErr w:type="spellStart"/>
            <w:r>
              <w:rPr>
                <w:sz w:val="23"/>
                <w:szCs w:val="23"/>
              </w:rPr>
              <w:t>искусі</w:t>
            </w:r>
            <w:proofErr w:type="spellEnd"/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пояснення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06725"/>
    <w:rsid w:val="00066699"/>
    <w:rsid w:val="000754B3"/>
    <w:rsid w:val="000C29D0"/>
    <w:rsid w:val="0014645C"/>
    <w:rsid w:val="00173AD5"/>
    <w:rsid w:val="00193164"/>
    <w:rsid w:val="001978B1"/>
    <w:rsid w:val="001B4447"/>
    <w:rsid w:val="001F2CBB"/>
    <w:rsid w:val="001F57A1"/>
    <w:rsid w:val="00270B5A"/>
    <w:rsid w:val="002A6B94"/>
    <w:rsid w:val="003172B2"/>
    <w:rsid w:val="00323B72"/>
    <w:rsid w:val="00370AAF"/>
    <w:rsid w:val="003724C4"/>
    <w:rsid w:val="00396F55"/>
    <w:rsid w:val="003A7DC1"/>
    <w:rsid w:val="00436FE0"/>
    <w:rsid w:val="00494876"/>
    <w:rsid w:val="004E50AA"/>
    <w:rsid w:val="00517237"/>
    <w:rsid w:val="005A7424"/>
    <w:rsid w:val="005B4A8D"/>
    <w:rsid w:val="005D7B6D"/>
    <w:rsid w:val="00665671"/>
    <w:rsid w:val="00683F89"/>
    <w:rsid w:val="006E0778"/>
    <w:rsid w:val="00773539"/>
    <w:rsid w:val="00782525"/>
    <w:rsid w:val="007B1885"/>
    <w:rsid w:val="007D26A4"/>
    <w:rsid w:val="007F4BB4"/>
    <w:rsid w:val="00805FB6"/>
    <w:rsid w:val="008A6C84"/>
    <w:rsid w:val="008B3B97"/>
    <w:rsid w:val="008C4657"/>
    <w:rsid w:val="00973A90"/>
    <w:rsid w:val="00994964"/>
    <w:rsid w:val="00A25622"/>
    <w:rsid w:val="00A4380B"/>
    <w:rsid w:val="00A934F4"/>
    <w:rsid w:val="00AD20B4"/>
    <w:rsid w:val="00BD4689"/>
    <w:rsid w:val="00BE211F"/>
    <w:rsid w:val="00CB0035"/>
    <w:rsid w:val="00DC420D"/>
    <w:rsid w:val="00DF2685"/>
    <w:rsid w:val="00E30A83"/>
    <w:rsid w:val="00F52B0A"/>
    <w:rsid w:val="00F65056"/>
    <w:rsid w:val="00FA705A"/>
    <w:rsid w:val="00FB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25</cp:revision>
  <dcterms:created xsi:type="dcterms:W3CDTF">2024-03-19T12:19:00Z</dcterms:created>
  <dcterms:modified xsi:type="dcterms:W3CDTF">2024-10-02T07:28:00Z</dcterms:modified>
</cp:coreProperties>
</file>