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100"/>
        <w:jc w:val="left"/>
      </w:pPr>
      <w:r>
        <w:rPr>
          <w:rFonts w:ascii="Arial" w:hAnsi="Arial"/>
          <w:b/>
          <w:i w:val="0"/>
          <w:color w:val="000000"/>
          <w:sz w:val="28"/>
        </w:rPr>
        <w:t>Назва вашої статті: Коротке та інформативне формулювання методу або результату</w:t>
      </w:r>
    </w:p>
    <w:p>
      <w:pPr>
        <w:spacing w:before="0" w:after="40"/>
        <w:jc w:val="left"/>
      </w:pPr>
      <w:r>
        <w:rPr>
          <w:rFonts w:ascii="Arial" w:hAnsi="Arial"/>
          <w:b/>
          <w:i w:val="0"/>
          <w:sz w:val="18"/>
        </w:rPr>
        <w:t>Іван Коваленко</w:t>
      </w:r>
      <w:r>
        <w:rPr>
          <w:rFonts w:ascii="Arial" w:hAnsi="Arial"/>
          <w:b w:val="0"/>
          <w:i w:val="0"/>
          <w:sz w:val="14"/>
          <w:vertAlign w:val="superscript"/>
        </w:rPr>
        <w:t>1</w:t>
      </w:r>
      <w:r>
        <w:rPr>
          <w:rFonts w:ascii="Arial" w:hAnsi="Arial"/>
          <w:b/>
          <w:i w:val="0"/>
          <w:sz w:val="18"/>
        </w:rPr>
        <w:t>, Марія Шевченко</w:t>
      </w:r>
      <w:r>
        <w:rPr>
          <w:rFonts w:ascii="Arial" w:hAnsi="Arial"/>
          <w:b w:val="0"/>
          <w:i w:val="0"/>
          <w:sz w:val="14"/>
          <w:vertAlign w:val="superscript"/>
        </w:rPr>
        <w:t>1,2</w:t>
      </w:r>
      <w:r>
        <w:rPr>
          <w:rFonts w:ascii="Arial" w:hAnsi="Arial"/>
          <w:b/>
          <w:i w:val="0"/>
          <w:sz w:val="18"/>
        </w:rPr>
        <w:t xml:space="preserve"> та Олег Бондаренко</w:t>
      </w:r>
      <w:r>
        <w:rPr>
          <w:rFonts w:ascii="Arial" w:hAnsi="Arial"/>
          <w:b w:val="0"/>
          <w:i w:val="0"/>
          <w:sz w:val="14"/>
          <w:vertAlign w:val="superscript"/>
        </w:rPr>
        <w:t>2,*</w:t>
      </w:r>
    </w:p>
    <w:p>
      <w:pPr>
        <w:spacing w:before="0" w:after="20"/>
        <w:jc w:val="left"/>
      </w:pPr>
      <w:r>
        <w:rPr>
          <w:rFonts w:ascii="Times New Roman" w:hAnsi="Times New Roman"/>
          <w:b w:val="0"/>
          <w:i w:val="0"/>
          <w:sz w:val="14"/>
          <w:vertAlign w:val="superscript"/>
        </w:rPr>
        <w:t>1</w:t>
      </w:r>
      <w:r>
        <w:rPr>
          <w:rFonts w:ascii="Times New Roman" w:hAnsi="Times New Roman"/>
          <w:b w:val="0"/>
          <w:i w:val="0"/>
          <w:color w:val="444444"/>
          <w:sz w:val="16"/>
        </w:rPr>
        <w:t xml:space="preserve">Кафедра біоінформатики, Університет А, Місто, Україна;  </w:t>
      </w:r>
      <w:r>
        <w:rPr>
          <w:rFonts w:ascii="Times New Roman" w:hAnsi="Times New Roman"/>
          <w:b w:val="0"/>
          <w:i w:val="0"/>
          <w:sz w:val="14"/>
          <w:vertAlign w:val="superscript"/>
        </w:rPr>
        <w:t>2</w:t>
      </w:r>
      <w:r>
        <w:rPr>
          <w:rFonts w:ascii="Times New Roman" w:hAnsi="Times New Roman"/>
          <w:b w:val="0"/>
          <w:i w:val="0"/>
          <w:color w:val="444444"/>
          <w:sz w:val="16"/>
        </w:rPr>
        <w:t>Інститут обчислювальної біології, Інститут Б, Місто, Україна</w:t>
      </w:r>
    </w:p>
    <w:p>
      <w:pPr>
        <w:spacing w:before="0" w:after="20"/>
        <w:jc w:val="left"/>
      </w:pPr>
      <w:r>
        <w:rPr>
          <w:rFonts w:ascii="Times New Roman" w:hAnsi="Times New Roman"/>
          <w:b w:val="0"/>
          <w:i/>
          <w:color w:val="777777"/>
          <w:sz w:val="16"/>
        </w:rPr>
        <w:t xml:space="preserve">*Кореспонденція: </w:t>
      </w:r>
      <w:r>
        <w:rPr>
          <w:rFonts w:ascii="Times New Roman" w:hAnsi="Times New Roman"/>
          <w:b w:val="0"/>
          <w:i/>
          <w:color w:val="777777"/>
          <w:sz w:val="16"/>
        </w:rPr>
        <w:t>автор@університет.ua</w:t>
      </w:r>
    </w:p>
    <w:p>
      <w:pPr>
        <w:spacing w:before="0" w:after="80"/>
        <w:jc w:val="left"/>
      </w:pPr>
      <w:r>
        <w:rPr>
          <w:rFonts w:ascii="Times New Roman" w:hAnsi="Times New Roman"/>
          <w:b w:val="0"/>
          <w:i/>
          <w:color w:val="777777"/>
          <w:sz w:val="15"/>
        </w:rPr>
        <w:t>Отримано ДД Місяць РРРР; переглянуто ДД Місяць РРРР; прийнято ДД Місяць РРРР</w:t>
      </w:r>
    </w:p>
    <w:p>
      <w:pPr>
        <w:spacing w:before="0" w:after="0"/>
        <w:jc w:val="both"/>
        <w:pBdr>
          <w:bottom w:val="single" w:sz="8" w:space="1" w:color="333333"/>
        </w:pBdr>
      </w:pPr>
    </w:p>
    <w:p>
      <w:pPr>
        <w:spacing w:before="100" w:after="40"/>
        <w:jc w:val="left"/>
      </w:pPr>
      <w:r>
        <w:rPr>
          <w:rFonts w:ascii="Arial" w:hAnsi="Arial"/>
          <w:b/>
          <w:i w:val="0"/>
          <w:sz w:val="18"/>
        </w:rPr>
        <w:t>Анотація</w:t>
      </w:r>
    </w:p>
    <w:p>
      <w:pPr>
        <w:spacing w:before="0" w:after="40"/>
        <w:jc w:val="both"/>
        <w:spacing w:line="210" w:lineRule="exact"/>
      </w:pPr>
      <w:r>
        <w:rPr>
          <w:rFonts w:ascii="Times New Roman" w:hAnsi="Times New Roman"/>
          <w:b/>
          <w:i w:val="0"/>
          <w:sz w:val="18"/>
        </w:rPr>
        <w:t xml:space="preserve">Мотивація: </w:t>
      </w:r>
      <w:r>
        <w:rPr>
          <w:rFonts w:ascii="Times New Roman" w:hAnsi="Times New Roman"/>
          <w:b w:val="0"/>
          <w:i w:val="0"/>
          <w:sz w:val="18"/>
        </w:rPr>
        <w:t>Опишіть біологічну або обчислювальну проблему та її значущість. Яку прогалину залишають існуючі методи?</w:t>
      </w:r>
    </w:p>
    <w:p>
      <w:pPr>
        <w:spacing w:before="0" w:after="40"/>
        <w:jc w:val="both"/>
        <w:spacing w:line="210" w:lineRule="exact"/>
      </w:pPr>
      <w:r>
        <w:rPr>
          <w:rFonts w:ascii="Times New Roman" w:hAnsi="Times New Roman"/>
          <w:b/>
          <w:i w:val="0"/>
          <w:sz w:val="18"/>
        </w:rPr>
        <w:t xml:space="preserve">Результати: </w:t>
      </w:r>
      <w:r>
        <w:rPr>
          <w:rFonts w:ascii="Times New Roman" w:hAnsi="Times New Roman"/>
          <w:b w:val="0"/>
          <w:i w:val="0"/>
          <w:sz w:val="18"/>
        </w:rPr>
        <w:t>Стисло підсумуйте ключові результати у 2–3 реченнях. Наведіть кількісні показники там, де це можливо.</w:t>
      </w:r>
    </w:p>
    <w:p>
      <w:pPr>
        <w:spacing w:before="0" w:after="40"/>
        <w:jc w:val="both"/>
        <w:spacing w:line="210" w:lineRule="exact"/>
      </w:pPr>
      <w:r>
        <w:rPr>
          <w:rFonts w:ascii="Times New Roman" w:hAnsi="Times New Roman"/>
          <w:b/>
          <w:i w:val="0"/>
          <w:sz w:val="18"/>
        </w:rPr>
        <w:t xml:space="preserve">Доступність та реалізація: </w:t>
      </w:r>
      <w:r>
        <w:rPr>
          <w:rFonts w:ascii="Times New Roman" w:hAnsi="Times New Roman"/>
          <w:b w:val="0"/>
          <w:i w:val="0"/>
          <w:sz w:val="18"/>
        </w:rPr>
        <w:t>Програмне забезпечення доступне за адресою https://github.com/yourlab/yourproject (DOI: 10.5281/zenodo.XXXXXXX), ліцензія MIT.</w:t>
      </w:r>
    </w:p>
    <w:p>
      <w:pPr>
        <w:spacing w:before="0" w:after="40"/>
        <w:jc w:val="both"/>
        <w:spacing w:line="210" w:lineRule="exact"/>
      </w:pPr>
      <w:r>
        <w:rPr>
          <w:rFonts w:ascii="Times New Roman" w:hAnsi="Times New Roman"/>
          <w:b/>
          <w:i w:val="0"/>
          <w:sz w:val="18"/>
        </w:rPr>
        <w:t xml:space="preserve">Контакт: </w:t>
      </w:r>
      <w:r>
        <w:rPr>
          <w:rFonts w:ascii="Times New Roman" w:hAnsi="Times New Roman"/>
          <w:b w:val="0"/>
          <w:i w:val="0"/>
          <w:sz w:val="18"/>
        </w:rPr>
        <w:t>автор@університет.ua</w:t>
      </w:r>
    </w:p>
    <w:p>
      <w:pPr>
        <w:spacing w:before="0" w:after="40"/>
        <w:jc w:val="both"/>
        <w:spacing w:line="210" w:lineRule="exact"/>
      </w:pPr>
      <w:r>
        <w:rPr>
          <w:rFonts w:ascii="Times New Roman" w:hAnsi="Times New Roman"/>
          <w:b/>
          <w:i w:val="0"/>
          <w:sz w:val="18"/>
        </w:rPr>
        <w:t xml:space="preserve">Додаткова інформація: </w:t>
      </w:r>
      <w:r>
        <w:rPr>
          <w:rFonts w:ascii="Times New Roman" w:hAnsi="Times New Roman"/>
          <w:b w:val="0"/>
          <w:i w:val="0"/>
          <w:sz w:val="18"/>
        </w:rPr>
        <w:t>Додаткові матеріали доступні на сайті Bioinformatics online.</w:t>
      </w:r>
    </w:p>
    <w:p>
      <w:pPr>
        <w:spacing w:before="60" w:after="0"/>
        <w:jc w:val="both"/>
        <w:pBdr>
          <w:bottom w:val="single" w:sz="4" w:space="1" w:color="999999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  <w:tblW w:w="10036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CellSpacing w:w="0" w:type="dxa"/>
      </w:tblPr>
      <w:tblGrid>
        <w:gridCol w:w="5017"/>
        <w:gridCol w:w="5017"/>
      </w:tblGrid>
      <w:tr>
        <w:tc>
          <w:tcPr>
            <w:tcW w:type="dxa" w:w="5017"/>
            <w:tcW w:w="4874" w:type="dxa"/>
            <w:tcBorders>
              <w:top w:val="none"/>
              <w:left w:val="none"/>
              <w:bottom w:val="none"/>
              <w:right w:val="none"/>
              <w:insideH w:val="none"/>
              <w:insideV w:val="none"/>
            </w:tcBorders>
            <w:vAlign w:val="top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before="120" w:after="40"/>
              <w:jc w:val="both"/>
              <w:pBdr>
                <w:bottom w:val="single" w:sz="2" w:space="1" w:color="CCCCCC"/>
              </w:pBdr>
            </w:pPr>
            <w:r>
              <w:rPr>
                <w:rFonts w:ascii="Arial" w:hAnsi="Arial"/>
                <w:b/>
                <w:i w:val="0"/>
                <w:color w:val="000000"/>
                <w:sz w:val="18"/>
              </w:rPr>
              <w:t>1  ВСТУП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Назва файлу має складатися з прізвищ авторів у такому форматі: Прізвище1-Прізвище2-Прізвище3. Наприклад, правильна назва цього документа: Коваленко-Шевченко-Бондаренко.</w:t>
            </w:r>
          </w:p>
          <w:p>
            <w:pPr>
              <w:spacing w:before="0" w:after="60"/>
              <w:ind w:firstLine="216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Конференція дотримується стилю OUP Bioinformatics: цитування за автором і роком (Сміт та ін., 2023), основний текст Times New Roman 9 пт, двоколонковий формат A4, максимум 1 сторінка включно з рисунками та списком літератури.</w:t>
            </w:r>
          </w:p>
          <w:p>
            <w:pPr>
              <w:spacing w:before="120" w:after="40"/>
              <w:jc w:val="both"/>
              <w:pBdr>
                <w:bottom w:val="single" w:sz="2" w:space="1" w:color="CCCCCC"/>
              </w:pBdr>
            </w:pPr>
            <w:r>
              <w:rPr>
                <w:rFonts w:ascii="Arial" w:hAnsi="Arial"/>
                <w:b/>
                <w:i w:val="0"/>
                <w:color w:val="000000"/>
                <w:sz w:val="18"/>
              </w:rPr>
              <w:t>2  МЕТОДИ</w:t>
            </w:r>
          </w:p>
          <w:p>
            <w:pPr>
              <w:spacing w:before="80" w:after="20"/>
              <w:jc w:val="both"/>
            </w:pPr>
            <w:r>
              <w:rPr>
                <w:rFonts w:ascii="Times New Roman" w:hAnsi="Times New Roman"/>
                <w:b/>
                <w:i w:val="0"/>
                <w:sz w:val="18"/>
              </w:rPr>
              <w:t>2.1  Дані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Опишіть набори даних: джерело (наприклад, UniProt 2024_05, NCBI RefSeq, GEO акцесія GSE000000), кроки попередньої обробки, критерії фільтрації та обсяг вибірки. За необхідності вкажіть етичні дозволи.</w:t>
            </w:r>
          </w:p>
          <w:p>
            <w:pPr>
              <w:spacing w:before="80" w:after="20"/>
              <w:jc w:val="both"/>
            </w:pPr>
            <w:r>
              <w:rPr>
                <w:rFonts w:ascii="Times New Roman" w:hAnsi="Times New Roman"/>
                <w:b/>
                <w:i w:val="0"/>
                <w:sz w:val="18"/>
              </w:rPr>
              <w:t>2.2  Модель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Представте основний алгоритмічний внесок. Використовуйте пронумеровані рівняння там, де це доречно. Опишіть проектні рішення та їх обґрунтування.</w:t>
            </w:r>
          </w:p>
          <w:p>
            <w:pPr>
              <w:spacing w:before="0" w:after="60"/>
              <w:ind w:firstLine="216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Надайте достатньо деталей для відтворюваності: гіперпараметри, версії програмного забезпечення та апаратне забезпечення — тут або в додаткових матеріалах.</w:t>
            </w:r>
          </w:p>
          <w:p>
            <w:pPr>
              <w:spacing w:before="80" w:after="20"/>
              <w:jc w:val="both"/>
            </w:pPr>
            <w:r>
              <w:rPr>
                <w:rFonts w:ascii="Times New Roman" w:hAnsi="Times New Roman"/>
                <w:b/>
                <w:i w:val="0"/>
                <w:sz w:val="18"/>
              </w:rPr>
              <w:t>2.3  Оцінювання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Визначте метрики: AUROC, середня точність, MCC, F1. Вкажіть стратегію крос-валідації та поправки на множинні порівняння (Бенджаміні–Хохберг, FDR &lt; 0.05).</w:t>
            </w:r>
          </w:p>
          <w:p>
            <w:pPr>
              <w:spacing w:before="120" w:after="40"/>
              <w:jc w:val="both"/>
              <w:pBdr>
                <w:bottom w:val="single" w:sz="2" w:space="1" w:color="CCCCCC"/>
              </w:pBdr>
            </w:pPr>
            <w:r>
              <w:rPr>
                <w:rFonts w:ascii="Arial" w:hAnsi="Arial"/>
                <w:b/>
                <w:i w:val="0"/>
                <w:color w:val="000000"/>
                <w:sz w:val="18"/>
              </w:rPr>
              <w:t>3  РЕЗУЛЬТАТИ</w:t>
            </w:r>
          </w:p>
          <w:p>
            <w:pPr>
              <w:spacing w:before="80" w:after="20"/>
              <w:jc w:val="both"/>
            </w:pPr>
            <w:r>
              <w:rPr>
                <w:rFonts w:ascii="Times New Roman" w:hAnsi="Times New Roman"/>
                <w:b/>
                <w:i w:val="0"/>
                <w:sz w:val="18"/>
              </w:rPr>
              <w:t>3.1  Порівняння методів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Наводьте результати об'єктивно. Посилайтесь на Таблицю 1 і Рис. 1. Розміщуйте кожен елемент поряд з першим згадуванням у тексті.</w:t>
            </w:r>
          </w:p>
          <w:p>
            <w:pPr>
              <w:spacing w:before="100" w:after="40"/>
              <w:jc w:val="both"/>
            </w:pPr>
            <w:r>
              <w:rPr>
                <w:rFonts w:ascii="Arial" w:hAnsi="Arial"/>
                <w:b/>
                <w:i w:val="0"/>
                <w:sz w:val="16"/>
              </w:rPr>
              <w:t xml:space="preserve">Таблиця 1. </w:t>
            </w:r>
            <w:r>
              <w:rPr>
                <w:rFonts w:ascii="Times New Roman" w:hAnsi="Times New Roman"/>
                <w:b w:val="0"/>
                <w:i/>
                <w:sz w:val="16"/>
              </w:rPr>
              <w:t>Порівняння методів на тестовій вибірці (середнє ± СВ, n=5). Жирним: найкраще.</w:t>
            </w:r>
          </w:p>
          <w:tbl>
            <w:tblPr>
              <w:tblW w:w="4874" w:type="dxa"/>
              <w:tblBorders>
                <w:top w:val="single" w:sz="4" w:color="CCCCCC"/>
                <w:left w:val="single" w:sz="4" w:color="CCCCCC"/>
                <w:bottom w:val="single" w:sz="4" w:color="CCCCCC"/>
                <w:right w:val="single" w:sz="4" w:color="CCCCCC"/>
                <w:insideH w:val="single" w:sz="4" w:color="CCCCCC"/>
                <w:insideV w:val="single" w:sz="4" w:color="CCCCCC"/>
              </w:tblBorders>
            </w:tblPr>
            <w:tblGrid>
              <w:gridCol w:w="1316"/>
              <w:gridCol w:w="926"/>
              <w:gridCol w:w="926"/>
              <w:gridCol w:w="877"/>
              <w:gridCol w:w="828"/>
            </w:tblGrid>
            <w:tr>
              <w:tc>
                <w:tcPr>
                  <w:tcW w:w="1316" w:type="dxa"/>
                  <w:shd w:val="clear" w:color="auto" w:fill="333333"/>
                </w:tcPr>
                <w:p>
                  <w:pPr>
                    <w:jc w:val="left"/>
                    <w:spacing w:before="20" w:after="20"/>
                  </w:pPr>
                  <w:r>
                    <w:rPr>
                      <w:b/>
                      <w:sz w:val="16"/>
                      <w:color w:val="FFFFFF"/>
                    </w:rPr>
                    <w:t>Метод</w:t>
                  </w:r>
                </w:p>
              </w:tc>
              <w:tc>
                <w:tcPr>
                  <w:tcW w:w="926" w:type="dxa"/>
                  <w:shd w:val="clear" w:color="auto" w:fill="333333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b/>
                      <w:sz w:val="16"/>
                      <w:color w:val="FFFFFF"/>
                    </w:rPr>
                    <w:t>AUROC</w:t>
                  </w:r>
                </w:p>
              </w:tc>
              <w:tc>
                <w:tcPr>
                  <w:tcW w:w="926" w:type="dxa"/>
                  <w:shd w:val="clear" w:color="auto" w:fill="333333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b/>
                      <w:sz w:val="16"/>
                      <w:color w:val="FFFFFF"/>
                    </w:rPr>
                    <w:t>F1</w:t>
                  </w:r>
                </w:p>
              </w:tc>
              <w:tc>
                <w:tcPr>
                  <w:tcW w:w="877" w:type="dxa"/>
                  <w:shd w:val="clear" w:color="auto" w:fill="333333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b/>
                      <w:sz w:val="16"/>
                      <w:color w:val="FFFFFF"/>
                    </w:rPr>
                    <w:t>MCC</w:t>
                  </w:r>
                </w:p>
              </w:tc>
              <w:tc>
                <w:tcPr>
                  <w:tcW w:w="828" w:type="dxa"/>
                  <w:shd w:val="clear" w:color="auto" w:fill="333333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b/>
                      <w:sz w:val="16"/>
                      <w:color w:val="FFFFFF"/>
                    </w:rPr>
                    <w:t>Час (с)</w:t>
                  </w:r>
                </w:p>
              </w:tc>
            </w:tr>
            <w:tr>
              <w:tc>
                <w:tcPr>
                  <w:tcW w:w="1316" w:type="dxa"/>
                  <w:shd w:val="clear" w:color="auto" w:fill="FFFFFF"/>
                </w:tcPr>
                <w:p>
                  <w:pPr>
                    <w:jc w:val="left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BLAST</w:t>
                  </w:r>
                </w:p>
              </w:tc>
              <w:tc>
                <w:tcPr>
                  <w:tcW w:w="926" w:type="dxa"/>
                  <w:shd w:val="clear" w:color="auto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0.743±.02</w:t>
                  </w:r>
                </w:p>
              </w:tc>
              <w:tc>
                <w:tcPr>
                  <w:tcW w:w="926" w:type="dxa"/>
                  <w:shd w:val="clear" w:color="auto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0.681±.02</w:t>
                  </w:r>
                </w:p>
              </w:tc>
              <w:tc>
                <w:tcPr>
                  <w:tcW w:w="877" w:type="dxa"/>
                  <w:shd w:val="clear" w:color="auto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0.612±.02</w:t>
                  </w:r>
                </w:p>
              </w:tc>
              <w:tc>
                <w:tcPr>
                  <w:tcW w:w="828" w:type="dxa"/>
                  <w:shd w:val="clear" w:color="auto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4.2</w:t>
                  </w:r>
                </w:p>
              </w:tc>
            </w:tr>
            <w:tr>
              <w:tc>
                <w:tcPr>
                  <w:tcW w:w="1316" w:type="dxa"/>
                  <w:shd w:val="clear" w:color="auto" w:fill="FFFFFF"/>
                </w:tcPr>
                <w:p>
                  <w:pPr>
                    <w:jc w:val="left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HMMER</w:t>
                  </w:r>
                </w:p>
              </w:tc>
              <w:tc>
                <w:tcPr>
                  <w:tcW w:w="926" w:type="dxa"/>
                  <w:shd w:val="clear" w:color="auto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0.801±.02</w:t>
                  </w:r>
                </w:p>
              </w:tc>
              <w:tc>
                <w:tcPr>
                  <w:tcW w:w="926" w:type="dxa"/>
                  <w:shd w:val="clear" w:color="auto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0.729±.02</w:t>
                  </w:r>
                </w:p>
              </w:tc>
              <w:tc>
                <w:tcPr>
                  <w:tcW w:w="877" w:type="dxa"/>
                  <w:shd w:val="clear" w:color="auto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0.688±.02</w:t>
                  </w:r>
                </w:p>
              </w:tc>
              <w:tc>
                <w:tcPr>
                  <w:tcW w:w="828" w:type="dxa"/>
                  <w:shd w:val="clear" w:color="auto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12.7</w:t>
                  </w:r>
                </w:p>
              </w:tc>
            </w:tr>
            <w:tr>
              <w:tc>
                <w:tcPr>
                  <w:tcW w:w="1316" w:type="dxa"/>
                  <w:shd w:val="clear" w:color="auto" w:fill="FFFFFF"/>
                </w:tcPr>
                <w:p>
                  <w:pPr>
                    <w:jc w:val="left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DeepBind</w:t>
                  </w:r>
                </w:p>
              </w:tc>
              <w:tc>
                <w:tcPr>
                  <w:tcW w:w="926" w:type="dxa"/>
                  <w:shd w:val="clear" w:color="auto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0.854±.01</w:t>
                  </w:r>
                </w:p>
              </w:tc>
              <w:tc>
                <w:tcPr>
                  <w:tcW w:w="926" w:type="dxa"/>
                  <w:shd w:val="clear" w:color="auto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0.791±.01</w:t>
                  </w:r>
                </w:p>
              </w:tc>
              <w:tc>
                <w:tcPr>
                  <w:tcW w:w="877" w:type="dxa"/>
                  <w:shd w:val="clear" w:color="auto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0.743±.01</w:t>
                  </w:r>
                </w:p>
              </w:tc>
              <w:tc>
                <w:tcPr>
                  <w:tcW w:w="828" w:type="dxa"/>
                  <w:shd w:val="clear" w:color="auto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38.1</w:t>
                  </w:r>
                </w:p>
              </w:tc>
            </w:tr>
            <w:tr>
              <w:tc>
                <w:tcPr>
                  <w:tcW w:w="1316" w:type="dxa"/>
                  <w:shd w:val="clear" w:color="auto" w:fill="E8F4E8"/>
                </w:tcPr>
                <w:p>
                  <w:pPr>
                    <w:jc w:val="left"/>
                    <w:spacing w:before="20" w:after="20"/>
                  </w:pPr>
                  <w:r>
                    <w:rPr>
                      <w:b/>
                      <w:sz w:val="16"/>
                      <w:color w:val="000000"/>
                    </w:rPr>
                    <w:t>Наш метод</w:t>
                  </w:r>
                </w:p>
              </w:tc>
              <w:tc>
                <w:tcPr>
                  <w:tcW w:w="926" w:type="dxa"/>
                  <w:shd w:val="clear" w:color="auto" w:fill="E8F4E8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b/>
                      <w:sz w:val="16"/>
                      <w:color w:val="000000"/>
                    </w:rPr>
                    <w:t>0.921±.01</w:t>
                  </w:r>
                </w:p>
              </w:tc>
              <w:tc>
                <w:tcPr>
                  <w:tcW w:w="926" w:type="dxa"/>
                  <w:shd w:val="clear" w:color="auto" w:fill="E8F4E8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b/>
                      <w:sz w:val="16"/>
                      <w:color w:val="000000"/>
                    </w:rPr>
                    <w:t>0.874±.01</w:t>
                  </w:r>
                </w:p>
              </w:tc>
              <w:tc>
                <w:tcPr>
                  <w:tcW w:w="877" w:type="dxa"/>
                  <w:shd w:val="clear" w:color="auto" w:fill="E8F4E8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b/>
                      <w:sz w:val="16"/>
                      <w:color w:val="000000"/>
                    </w:rPr>
                    <w:t>0.836±.01</w:t>
                  </w:r>
                </w:p>
              </w:tc>
              <w:tc>
                <w:tcPr>
                  <w:tcW w:w="828" w:type="dxa"/>
                  <w:shd w:val="clear" w:color="auto" w:fill="E8F4E8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b/>
                      <w:sz w:val="16"/>
                      <w:color w:val="000000"/>
                    </w:rPr>
                    <w:t>21.3</w:t>
                  </w:r>
                </w:p>
              </w:tc>
            </w:tr>
          </w:tbl>
          <w:p>
            <w:pPr>
              <w:spacing w:before="80" w:after="20"/>
              <w:jc w:val="both"/>
            </w:pPr>
            <w:r>
              <w:rPr>
                <w:rFonts w:ascii="Times New Roman" w:hAnsi="Times New Roman"/>
                <w:b/>
                <w:i w:val="0"/>
                <w:sz w:val="18"/>
              </w:rPr>
              <w:t>3.2  Абляційне дослідження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Оцініть внесок кожного компонента моделі окремо. Кожне проектне рішення дає статистично значуще покращення (парний t-критерій, p &lt; 0.01).</w:t>
            </w:r>
          </w:p>
        </w:tc>
        <w:tc>
          <w:tcPr>
            <w:tcW w:type="dxa" w:w="5017"/>
            <w:tcW w:w="4874" w:type="dxa"/>
            <w:tcBorders>
              <w:top w:val="none"/>
              <w:left w:val="none"/>
              <w:bottom w:val="none"/>
              <w:right w:val="none"/>
              <w:insideH w:val="none"/>
              <w:insideV w:val="none"/>
            </w:tcBorders>
            <w:vAlign w:val="top"/>
            <w:tcMar>
              <w:top w:w="0" w:type="dxa"/>
              <w:bottom w:w="0" w:type="dxa"/>
              <w:left w:w="288" w:type="dxa"/>
              <w:right w:w="0" w:type="dxa"/>
            </w:tcMar>
          </w:tcPr>
          <w:p>
            <w:pPr>
              <w:spacing w:before="120" w:after="40"/>
              <w:jc w:val="both"/>
              <w:pBdr>
                <w:bottom w:val="single" w:sz="2" w:space="1" w:color="CCCCCC"/>
              </w:pBdr>
            </w:pPr>
            <w:r>
              <w:rPr>
                <w:rFonts w:ascii="Arial" w:hAnsi="Arial"/>
                <w:b/>
                <w:i w:val="0"/>
                <w:color w:val="000000"/>
                <w:sz w:val="18"/>
              </w:rPr>
              <w:t>4  ОБГОВОРЕННЯ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Інтерпретуйте результати в біологічному контексті. Поясніть, чому запропонований підхід перевершує базові методи. Відкрито обговоріть обмеження: обсяг даних, обчислювальні витрати, узагальнюваність.</w:t>
            </w:r>
          </w:p>
          <w:p>
            <w:pPr>
              <w:spacing w:before="0" w:after="60"/>
              <w:ind w:firstLine="216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Перспективи: розширення на мультиомні дані та федеративне навчання для геноміки з захистом приватності.</w:t>
            </w:r>
          </w:p>
          <w:p>
            <w:pPr>
              <w:spacing w:before="120" w:after="40"/>
              <w:jc w:val="both"/>
              <w:pBdr>
                <w:bottom w:val="single" w:sz="2" w:space="1" w:color="CCCCCC"/>
              </w:pBdr>
            </w:pPr>
            <w:r>
              <w:rPr>
                <w:rFonts w:ascii="Arial" w:hAnsi="Arial"/>
                <w:b/>
                <w:i w:val="0"/>
                <w:color w:val="000000"/>
                <w:sz w:val="18"/>
              </w:rPr>
              <w:t>5  ВИСНОВКИ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Стисло підсумуйте основні внески у 2–4 реченнях. Повторіть значущість роботи, не вводячи нової інформації.</w:t>
            </w:r>
          </w:p>
          <w:p>
            <w:pPr>
              <w:spacing w:before="120" w:after="40"/>
              <w:jc w:val="both"/>
              <w:pBdr>
                <w:bottom w:val="single" w:sz="2" w:space="1" w:color="CCCCCC"/>
              </w:pBdr>
            </w:pPr>
            <w:r>
              <w:rPr>
                <w:rFonts w:ascii="Arial" w:hAnsi="Arial"/>
                <w:b/>
                <w:i w:val="0"/>
                <w:color w:val="000000"/>
                <w:sz w:val="18"/>
              </w:rPr>
              <w:t>ПОДЯКИ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Ця робота виконана за підтримки [Грантова установа] (грант № XXXXXX) та [Друга установа] (грант № YYYYYY).</w:t>
            </w:r>
          </w:p>
          <w:p>
            <w:pPr>
              <w:spacing w:before="80" w:after="40"/>
              <w:jc w:val="both"/>
            </w:pPr>
            <w:r>
              <w:rPr>
                <w:rFonts w:ascii="Arial" w:hAnsi="Arial"/>
                <w:b/>
                <w:i w:val="0"/>
                <w:sz w:val="18"/>
              </w:rPr>
              <w:t xml:space="preserve">Конфлікт інтересів: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відсутній.</w:t>
            </w:r>
          </w:p>
          <w:p>
            <w:pPr>
              <w:spacing w:before="120" w:after="40"/>
              <w:jc w:val="both"/>
              <w:pBdr>
                <w:bottom w:val="single" w:sz="2" w:space="1" w:color="CCCCCC"/>
              </w:pBdr>
            </w:pPr>
            <w:r>
              <w:rPr>
                <w:rFonts w:ascii="Arial" w:hAnsi="Arial"/>
                <w:b/>
                <w:i w:val="0"/>
                <w:color w:val="000000"/>
                <w:sz w:val="18"/>
              </w:rPr>
              <w:t>СПИСОК ЛІТЕРАТУРИ</w:t>
            </w:r>
          </w:p>
          <w:p>
            <w:pPr>
              <w:spacing w:before="0" w:after="40"/>
              <w:ind w:left="259" w:hanging="259"/>
              <w:jc w:val="both"/>
              <w:spacing w:line="190" w:lineRule="exac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Altschul,S.F. та ін. (1990) Basic local alignment search tool. J. Mol. Biol., 215, 403–410.</w:t>
            </w:r>
          </w:p>
          <w:p>
            <w:pPr>
              <w:spacing w:before="0" w:after="40"/>
              <w:ind w:left="259" w:hanging="259"/>
              <w:jc w:val="both"/>
              <w:spacing w:line="190" w:lineRule="exac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Alipanahi,B. та ін. (2015) Predicting the sequence specificities of DNA- and RNA-binding proteins by deep learning. Nat. Biotechnol., 33, 831–838.</w:t>
            </w:r>
          </w:p>
          <w:p>
            <w:pPr>
              <w:spacing w:before="0" w:after="40"/>
              <w:ind w:left="259" w:hanging="259"/>
              <w:jc w:val="both"/>
              <w:spacing w:line="190" w:lineRule="exac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Eddy,S.R. (2011) Accelerated profile HMM searches. PLoS Comput. Biol., 7, e1002195.</w:t>
            </w:r>
          </w:p>
          <w:p>
            <w:pPr>
              <w:spacing w:before="0" w:after="40"/>
              <w:ind w:left="259" w:hanging="259"/>
              <w:jc w:val="both"/>
              <w:spacing w:line="190" w:lineRule="exac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Сміт,Дж. та ін. (2023) Ваше четверте джерело. Bioinformatics, 39, btad000.</w:t>
            </w:r>
          </w:p>
          <w:p>
            <w:pPr>
              <w:spacing w:before="0" w:after="40"/>
              <w:ind w:left="259" w:hanging="259"/>
              <w:jc w:val="both"/>
              <w:spacing w:line="190" w:lineRule="exac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[Додайте подальші джерела у стилі OUP «автор–рік», відсортовані за алфавітом.]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080" w:right="936" w:bottom="108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 w:after="0"/>
      <w:jc w:val="center"/>
      <w:pBdr>
        <w:top w:val="single" w:sz="4" w:space="2" w:color="888888"/>
      </w:pBdr>
    </w:pPr>
    <w:r>
      <w:rPr>
        <w:rFonts w:ascii="Times New Roman" w:hAnsi="Times New Roman"/>
        <w:b w:val="0"/>
        <w:i w:val="0"/>
        <w:color w:val="777777"/>
        <w:sz w:val="16"/>
      </w:rPr>
      <w:t xml:space="preserve">стор. </w:t>
    </w:r>
    <w:r>
      <w:fldChar w:fldCharType="begin"/>
    </w:r>
    <w:r>
      <w:instrText xml:space="preserve"> PAGE </w:instrText>
    </w:r>
    <w: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40"/>
      <w:jc w:val="center"/>
      <w:pBdr>
        <w:bottom w:val="single" w:sz="4" w:space="2" w:color="888888"/>
      </w:pBdr>
    </w:pPr>
    <w:r>
      <w:rPr>
        <w:rFonts w:ascii="Times New Roman" w:hAnsi="Times New Roman"/>
        <w:b w:val="0"/>
        <w:i/>
        <w:color w:val="1A1A1A"/>
        <w:sz w:val="16"/>
      </w:rPr>
      <w:t>The Health Intelligence Conference</w:t>
    </w:r>
    <w:r>
      <w:rPr>
        <w:rFonts w:ascii="Times New Roman" w:hAnsi="Times New Roman"/>
        <w:b w:val="0"/>
        <w:i w:val="0"/>
        <w:color w:val="1A1A1A"/>
        <w:sz w:val="16"/>
      </w:rPr>
      <w:t>, 2026, Том 1</w:t>
    </w:r>
    <w:r>
      <w:rPr>
        <w:rFonts w:ascii="Times New Roman" w:hAnsi="Times New Roman"/>
        <w:b w:val="0"/>
        <w:i w:val="0"/>
        <w:color w:val="777777"/>
        <w:sz w:val="16"/>
      </w:rPr>
      <w:t xml:space="preserve">  |  Матеріали KSE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