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4680"/>
      </w:tblGrid>
      <w:tr w:rsidR="088B9CC6" w:rsidTr="5998D7C4" w14:paraId="544C8B16">
        <w:trPr>
          <w:trHeight w:val="99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88B9CC6" w:rsidP="088B9CC6" w:rsidRDefault="088B9CC6" w14:paraId="1E812D02" w14:textId="741D043E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="088B9CC6">
              <w:drawing>
                <wp:inline wp14:editId="74B536BD" wp14:anchorId="792DAEE1">
                  <wp:extent cx="2162175" cy="1600200"/>
                  <wp:effectExtent l="0" t="0" r="0" b="0"/>
                  <wp:docPr id="17484851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73c6aaf153e4ad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88B9CC6" w:rsidP="088B9CC6" w:rsidRDefault="088B9CC6" w14:paraId="1B81DED4" w14:textId="3D5AF8A2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88B9CC6" w:rsidR="088B9C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 xml:space="preserve">Затверджено </w:t>
            </w:r>
          </w:p>
          <w:p w:rsidR="088B9CC6" w:rsidP="088B9CC6" w:rsidRDefault="088B9CC6" w14:paraId="5AB5BC74" w14:textId="52982A58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88B9CC6" w:rsidR="088B9C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протоколом №02-П</w:t>
            </w:r>
          </w:p>
          <w:p w:rsidR="088B9CC6" w:rsidP="088B9CC6" w:rsidRDefault="088B9CC6" w14:paraId="17593647" w14:textId="7C9289EE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88B9CC6" w:rsidR="088B9C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 xml:space="preserve">Загальних зборів </w:t>
            </w:r>
          </w:p>
          <w:p w:rsidR="088B9CC6" w:rsidP="088B9CC6" w:rsidRDefault="088B9CC6" w14:paraId="325C2AC1" w14:textId="4DFA3C97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88B9CC6" w:rsidR="088B9C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 xml:space="preserve">ГО «ГРІН ЛАНДІЯ» </w:t>
            </w:r>
          </w:p>
          <w:p w:rsidR="088B9CC6" w:rsidP="088B9CC6" w:rsidRDefault="088B9CC6" w14:paraId="4A15E629" w14:textId="162BF997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88B9CC6" w:rsidR="088B9C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від 02 січня 2023 року</w:t>
            </w:r>
          </w:p>
          <w:p w:rsidR="088B9CC6" w:rsidP="088B9CC6" w:rsidRDefault="088B9CC6" w14:paraId="4BD4AA4C" w14:textId="4FD65D96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88B9CC6" w:rsidR="088B9C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_______________________________</w:t>
            </w:r>
          </w:p>
          <w:p w:rsidR="088B9CC6" w:rsidP="088B9CC6" w:rsidRDefault="088B9CC6" w14:paraId="184EB1E4" w14:textId="19D6D184">
            <w:pPr>
              <w:widowControl w:val="0"/>
              <w:spacing w:before="0" w:beforeAutospacing="off" w:after="0" w:afterAutospacing="off"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88B9CC6" w:rsidR="088B9CC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Голова Організації Денисенко В.О.</w:t>
            </w:r>
          </w:p>
        </w:tc>
      </w:tr>
    </w:tbl>
    <w:p w:rsidRPr="00E81203" w:rsidR="00E81203" w:rsidP="088B9CC6" w:rsidRDefault="00E81203" w14:paraId="69B4CBC5" w14:textId="78919435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58B85881" w14:textId="045DB4AA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01AAB8DC" w14:textId="4DFB8E64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76F81AC1" w14:textId="47D163D8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73DBB72D" w14:textId="430FF673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5E3BE7CE" w14:textId="3E0CC9E5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61D104E2" w14:textId="75B60899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41FA86F3" w14:textId="2D7FEA74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0EABF03C" w14:textId="16AC59B3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5A70143C" w14:textId="3DFEDFB3">
      <w:pPr>
        <w:widowControl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uk-UA"/>
        </w:rPr>
      </w:pPr>
      <w:r w:rsidRPr="088B9CC6" w:rsidR="020E0C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uk-UA"/>
        </w:rPr>
        <w:t xml:space="preserve">ПОЛІТИКА ЩОДО ЗАХИСТУ ВІД СЕКСУАЛЬНОЇ ЕКСПЛУАТАЦІЇ ТА НАСИЛЬСТВА  </w:t>
      </w:r>
    </w:p>
    <w:p w:rsidRPr="00E81203" w:rsidR="00E81203" w:rsidP="088B9CC6" w:rsidRDefault="00E81203" w14:paraId="09F9E83B" w14:textId="71313C34">
      <w:pPr>
        <w:widowControl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uk-UA"/>
        </w:rPr>
      </w:pPr>
    </w:p>
    <w:p w:rsidRPr="00E81203" w:rsidR="00E81203" w:rsidP="088B9CC6" w:rsidRDefault="00E81203" w14:paraId="20C70959" w14:textId="59EDB09E">
      <w:pPr>
        <w:widowControl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uk-UA"/>
        </w:rPr>
      </w:pPr>
      <w:r w:rsidRPr="088B9CC6" w:rsidR="020E0C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uk-UA"/>
        </w:rPr>
        <w:t>ГРОМАДСЬКОЇ ОРГАНІЗАЦІЇ</w:t>
      </w:r>
    </w:p>
    <w:p w:rsidRPr="00E81203" w:rsidR="00E81203" w:rsidP="088B9CC6" w:rsidRDefault="00E81203" w14:paraId="5B6180A5" w14:textId="17D1B7E4">
      <w:pPr>
        <w:widowControl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uk-UA"/>
        </w:rPr>
      </w:pPr>
      <w:r w:rsidRPr="088B9CC6" w:rsidR="020E0C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uk-UA"/>
        </w:rPr>
        <w:t>“ГРІН – ЛАНДІЯ”</w:t>
      </w:r>
    </w:p>
    <w:p w:rsidRPr="00E81203" w:rsidR="00E81203" w:rsidP="088B9CC6" w:rsidRDefault="00E81203" w14:paraId="68C41BE8" w14:textId="04383481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uk-UA"/>
        </w:rPr>
      </w:pPr>
    </w:p>
    <w:p w:rsidRPr="00E81203" w:rsidR="00E81203" w:rsidP="088B9CC6" w:rsidRDefault="00E81203" w14:paraId="2050B72D" w14:textId="2ED427CE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62114067" w14:textId="01F0EBD8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061E0A5A" w14:textId="1D8CA6D2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6E73DB6E" w14:textId="29ED8E1B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0B759061" w14:textId="10938A45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75157FEF" w14:textId="0FADAA8D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6F7CA792" w14:textId="5D167FA5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0B2EF1C3" w14:textId="60DAF8D5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27A09A5E" w14:textId="2FEFF5E1">
      <w:pPr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6E11955D" w14:textId="108ADE4B">
      <w:pPr>
        <w:pStyle w:val="a"/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28C0C1CD" w14:textId="5E73554F">
      <w:pPr>
        <w:pStyle w:val="a"/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77C1FCBE" w14:textId="48360CC5">
      <w:pPr>
        <w:pStyle w:val="a"/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0EE1239E" w14:textId="7FCA3DC2">
      <w:pPr>
        <w:pStyle w:val="a"/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1D5D55D0" w14:textId="27DD23E0">
      <w:pPr>
        <w:pStyle w:val="a"/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562583E2" w14:textId="602881AF">
      <w:pPr>
        <w:pStyle w:val="a"/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Pr="00E81203" w:rsidR="00E81203" w:rsidP="088B9CC6" w:rsidRDefault="00E81203" w14:paraId="763FD33C" w14:textId="21263265">
      <w:pPr>
        <w:pStyle w:val="a"/>
        <w:widowControl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="0DA00654" w:rsidP="0DA00654" w:rsidRDefault="0DA00654" w14:paraId="5BD12B10" w14:textId="09E484C1">
      <w:pPr>
        <w:widowControl w:val="0"/>
        <w:spacing w:before="0" w:beforeAutospacing="off" w:after="0" w:afterAutospacing="off" w:line="240" w:lineRule="auto"/>
        <w:ind w:left="0" w:right="0"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w:rsidRPr="00E81203" w:rsidR="00E81203" w:rsidP="088B9CC6" w:rsidRDefault="00E81203" w14:paraId="7A9A9763" w14:textId="110692CF">
      <w:pPr>
        <w:widowControl w:val="0"/>
        <w:spacing w:before="0" w:beforeAutospacing="off" w:after="0" w:afterAutospacing="off" w:line="240" w:lineRule="auto"/>
        <w:ind w:left="0" w:right="0"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69596EFA" w:rsidR="69596E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Харків, 2023</w:t>
      </w:r>
    </w:p>
    <w:p w:rsidR="69596EFA" w:rsidP="69596EFA" w:rsidRDefault="69596EFA" w14:paraId="41B72DFB" w14:textId="2C3708A2">
      <w:pPr>
        <w:pStyle w:val="a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</w:p>
    <w:p w:rsidR="4CEBA5E5" w:rsidP="4CEBA5E5" w:rsidRDefault="4CEBA5E5" w14:paraId="08184C0B" w14:textId="29D78009">
      <w:pPr>
        <w:pStyle w:val="a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</w:p>
    <w:p w:rsidRPr="00E81203" w:rsidR="00E81203" w:rsidP="088B9CC6" w:rsidRDefault="00E81203" w14:paraId="6D1D6EFE" w14:textId="0B501508">
      <w:pPr>
        <w:pStyle w:val="a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  <w:r w:rsidRPr="69596EFA" w:rsidR="69596EFA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  <w:t>Вступ</w:t>
      </w:r>
    </w:p>
    <w:p w:rsidR="69596EFA" w:rsidP="69596EFA" w:rsidRDefault="69596EFA" w14:paraId="75652C32" w14:textId="73D6C430">
      <w:pPr>
        <w:pStyle w:val="a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</w:p>
    <w:p w:rsidRPr="00E81203" w:rsidR="00BB439C" w:rsidP="088B9CC6" w:rsidRDefault="00E81203" w14:paraId="00000018" w14:textId="66C71745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Г</w:t>
      </w:r>
      <w:r w:rsidRPr="0DA00654" w:rsidR="51A975D8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ромадська організація “Грін-</w:t>
      </w:r>
      <w:r w:rsidRPr="0DA00654" w:rsidR="51A975D8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Ландія</w:t>
      </w:r>
      <w:r w:rsidRPr="0DA00654" w:rsidR="51A975D8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” (надалі - Організація)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прагне підтримувати атмосферу, яка заохочує і сприяє етичній та професійній поведінці всіх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членів та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членкинь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О</w:t>
      </w:r>
      <w:r w:rsidRPr="0DA00654" w:rsidR="117F2A02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рганізація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працівників та працівниць, </w:t>
      </w:r>
      <w:r w:rsidRPr="0DA00654" w:rsidR="064B997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залучених</w:t>
      </w:r>
      <w:r w:rsidRPr="0DA00654" w:rsidR="064B997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спеціалістів та спеціалісток,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волонтерів та волонтерок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та поваги до індивідуальних цінностей та свобод. Відповідно, О</w:t>
      </w:r>
      <w:r w:rsidRPr="0DA00654" w:rsidR="1579462F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рганізація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дотримується цієї політики для запобігання та захисту від сексуальної експлуатації та насильства.</w:t>
      </w:r>
    </w:p>
    <w:p w:rsidRPr="00E81203" w:rsidR="00BB439C" w:rsidP="088B9CC6" w:rsidRDefault="00E81203" w14:paraId="00000019" w14:textId="4B76EDC2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Дискримінація чи переслідування за ознакою раси, статі і/або гендерної ідентичності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, кольору шкіри, віросповідання, релігії, віку, національного походження, етнічної приналежності, інвалідності, ветеранського або військового статусу, сексуальної орієнтації, вагітності, генетичної інформації, сімейного положення, статусу громадянства або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на будь-якій іншій юридично забороненій підставі є незаконними і підриває репутацію ГО</w:t>
      </w:r>
      <w:r w:rsidRPr="0DA00654" w:rsidR="345F667D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“Грін-Ландія”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. Така дискримінація або переслідування порушує політику організації і не буде толеруватися.   </w:t>
      </w:r>
    </w:p>
    <w:p w:rsidRPr="00E81203" w:rsidR="00BB439C" w:rsidP="088B9CC6" w:rsidRDefault="00E81203" w14:paraId="0000001A" w14:textId="229CAC06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Ця політика застосовується до всіх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членів та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членкинь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  <w:r w:rsidRPr="0DA00654" w:rsidR="5B7FB602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Організації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, працівникі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в та працівниць, </w:t>
      </w:r>
      <w:r w:rsidRPr="0DA00654" w:rsidR="2A37591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залучених спеціалістів та спеціалісток,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волонтерів та волонтерок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</w:t>
      </w:r>
      <w:r w:rsidRPr="0DA00654" w:rsidR="1B35F867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Організації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. Організація очікує, що </w:t>
      </w:r>
      <w:r w:rsidRPr="0DA00654" w:rsidR="7CB3FD40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Голова Організації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буде прикладом належної поведінки для інших і  дотримуватиметься високих стандартів відповідальності. </w:t>
      </w:r>
    </w:p>
    <w:p w:rsidRPr="00E81203" w:rsidR="00BB439C" w:rsidP="4CEBA5E5" w:rsidRDefault="00E81203" w14:paraId="0000001B" w14:textId="52F09C1E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</w:pP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Будь-яка форма помсти по відношенню до будь-кого, хто скаржився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на дискримінацію, домагання (включаючи сексуальне/гендерне домагання), сексуальне насильство або повідомляв про них, або ж брав участь у</w:t>
      </w:r>
      <w:r w:rsidRPr="4CEBA5E5" w:rsidR="41C56C9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з'ясуванні обставин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такої скарги, не припустима за чинним законодавством і може призвести до дисциплінарної відповідальност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і.  </w:t>
      </w:r>
    </w:p>
    <w:p w:rsidR="0DA00654" w:rsidP="0DA00654" w:rsidRDefault="0DA00654" w14:paraId="60E5EA09" w14:textId="51264A19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</w:p>
    <w:p w:rsidRPr="00E81203" w:rsidR="00BB439C" w:rsidP="0DA00654" w:rsidRDefault="00E81203" w14:paraId="0000001D" w14:textId="77777777" w14:noSpellErr="1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  <w:bookmarkStart w:name="_gsi4fepq1vpv" w:id="7"/>
      <w:bookmarkEnd w:id="7"/>
      <w:r w:rsidRPr="0DA00654" w:rsidR="5EA506A4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  <w:t>Визначення </w:t>
      </w:r>
    </w:p>
    <w:p w:rsidRPr="00E81203" w:rsidR="00BB439C" w:rsidP="088B9CC6" w:rsidRDefault="00E81203" w14:paraId="0000001E" w14:textId="6E3ACEF9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Дискримінація – це несприятливе ставлення до будь-якого співробітника, засноване на фактичній або прогнозованій приналежності члена/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членкині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 до певного соці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ального класу, категорії осіб, до яких він</w:t>
      </w:r>
      <w:r w:rsidRPr="0DA00654" w:rsidR="495E9E25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/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вона належить або походить, а не на підставі його/її особистих заслуг, професійних якостей та досвіду.   </w:t>
      </w:r>
    </w:p>
    <w:p w:rsidRPr="00E81203" w:rsidR="00BB439C" w:rsidP="088B9CC6" w:rsidRDefault="00E81203" w14:paraId="0000001F" w14:textId="49427404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Переслідування  – це систематичне погане ставлення до окремої особи або групи з боку іншої особи або групи через його/її приналежність до певної категорії або через расу, стать і/або гендерну ідентичність, колір шкіри, віросповідання, релігію, вік, націо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нальне походження, етнічну приналежність, інвалідність, ветеранський або військовий статус, сексуальну орієнтацію, вагітність, генетику, сімейний стан або громадянство.    </w:t>
      </w:r>
    </w:p>
    <w:p w:rsidR="5998D7C4" w:rsidP="5998D7C4" w:rsidRDefault="5998D7C4" w14:paraId="26E0FA11" w14:textId="288E1614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5998D7C4" w:rsidRDefault="00E81203" w14:paraId="00000020" w14:textId="4F6A19DA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A0A0A"/>
          <w:sz w:val="24"/>
          <w:szCs w:val="24"/>
          <w:highlight w:val="white"/>
          <w:lang w:val="uk-UA"/>
        </w:rPr>
      </w:pPr>
      <w:r w:rsidRPr="5998D7C4" w:rsidR="5EA506A4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Приклади переслідування включають, але не обмежуються</w:t>
      </w:r>
      <w:r w:rsidRPr="5998D7C4" w:rsidR="16D7646E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:</w:t>
      </w:r>
    </w:p>
    <w:p w:rsidRPr="00E81203" w:rsidR="00BB439C" w:rsidP="088B9CC6" w:rsidRDefault="00E81203" w14:paraId="00000021" w14:textId="647F804D" w14:noSpellErr="1">
      <w:pPr>
        <w:numPr>
          <w:ilvl w:val="0"/>
          <w:numId w:val="1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Образливі або принизливі зауваження, словесні образи або інші ворожі дії, такі як обзивання,  дражніння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знущання, приниження або висміювання іншої особи або групи. </w:t>
      </w:r>
    </w:p>
    <w:p w:rsidRPr="00E81203" w:rsidR="00BB439C" w:rsidP="088B9CC6" w:rsidRDefault="00E81203" w14:paraId="00000022" w14:textId="31E9A05B" w14:noSpellErr="1">
      <w:pPr>
        <w:numPr>
          <w:ilvl w:val="0"/>
          <w:numId w:val="1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Расові натяки, принизливі зауваження про акцент людин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и або показ образливих символів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жестів.   </w:t>
      </w:r>
    </w:p>
    <w:p w:rsidRPr="00E81203" w:rsidR="00BB439C" w:rsidP="088B9CC6" w:rsidRDefault="00E81203" w14:paraId="00000023" w14:textId="77777777" w14:noSpellErr="1">
      <w:pPr>
        <w:numPr>
          <w:ilvl w:val="0"/>
          <w:numId w:val="1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Небажані або недоречні фізичні контакти, коментарі, питання, загравання, жарти, епітети або вимоги.</w:t>
      </w:r>
    </w:p>
    <w:p w:rsidRPr="00E81203" w:rsidR="00BB439C" w:rsidP="088B9CC6" w:rsidRDefault="00E81203" w14:paraId="00000024" w14:textId="77777777" w14:noSpellErr="1">
      <w:pPr>
        <w:numPr>
          <w:ilvl w:val="0"/>
          <w:numId w:val="1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Фізичний напад або переслідування.</w:t>
      </w:r>
    </w:p>
    <w:p w:rsidRPr="00E81203" w:rsidR="00BB439C" w:rsidP="088B9CC6" w:rsidRDefault="00E81203" w14:paraId="00000025" w14:textId="77777777" w14:noSpellErr="1">
      <w:pPr>
        <w:numPr>
          <w:ilvl w:val="0"/>
          <w:numId w:val="1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Прояви або передача в електронному вигляді зневажливих, принизливих або ворожих матеріалів, коментарів.</w:t>
      </w:r>
    </w:p>
    <w:p w:rsidRPr="00E81203" w:rsidR="00BB439C" w:rsidP="088B9CC6" w:rsidRDefault="00E81203" w14:paraId="00000026" w14:textId="77777777" w14:noSpellErr="1">
      <w:pPr>
        <w:numPr>
          <w:ilvl w:val="0"/>
          <w:numId w:val="1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Небажання навчати, оцінювати, допомагати або працювати зі співробітником.  </w:t>
      </w:r>
    </w:p>
    <w:p w:rsidRPr="00E81203" w:rsidR="00BB439C" w:rsidP="088B9CC6" w:rsidRDefault="00E81203" w14:paraId="00000027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</w:p>
    <w:p w:rsidRPr="00E81203" w:rsidR="00BB439C" w:rsidP="088B9CC6" w:rsidRDefault="00E81203" w14:paraId="00000028" w14:textId="794E0FA5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Сексуальне домагання – це одна з форм дискримінаційного домагання. Сексуальний утиск включає в себе утиск за ознакою статі, сексуальної орієнтації, гендерної ідентичності і стат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усу 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трансгендерів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і відбувається, коли з особою, приналежною до О</w:t>
      </w:r>
      <w:r w:rsidRPr="0DA00654" w:rsidR="4B998D92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рганізації,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поводяться «менш шанобливо», ніж з іншими членами О</w:t>
      </w:r>
      <w:r w:rsidRPr="0DA00654" w:rsidR="0005518E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рганізації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чи волонтерами через його/її стать, піддаючи його/її небажаному словесному або фізичному прояву сексуального характеру. Це може 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бути викликано, наприклад, небажаними дотиками, образливими жестами або коментарями, запитаннями про сексуальне життя людини або розповіддю жартів із сексуальним підтекстом. Як правило, сексуальний утиск описується як «вороже середовище» або «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quid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pro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quo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»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. Сексуальний  утиск, який створює «вороже середовище», складається з слів, знаків, жартів, розіграшів, залякування або фізичної поведінки, які мають сексуальну природу або які спрямовані на людину через його/її стать/ідентифікацію.   </w:t>
      </w:r>
    </w:p>
    <w:p w:rsidRPr="00E81203" w:rsidR="00BB439C" w:rsidP="088B9CC6" w:rsidRDefault="00E81203" w14:paraId="00000029" w14:textId="7735F9E0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Сексуальні домагання – це також будь-які небажані словесні або фізичні загравання, відверті сексуально зневажливі висловлювання або дискримінаційні зауваження, зроблені кимось на робочому місці, які є образливими або небажаними для одержувача, які викликаю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ть у одержувача дискомфорт або приниження, або які заважають продуктивності роботи.    Сексуальні  домагання не обмежується фізичним місцем роботи і можуть відбуватися під час пов’язаних із О</w:t>
      </w:r>
      <w:r w:rsidRPr="5998D7C4" w:rsidR="0FBA4EBB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рганізацією 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заходів поза офісом і під час 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ідряджень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.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Наприклад, телефо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нні розмови, 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е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мейли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,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с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мс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,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коментарі та меседжі у соціальних мережах, навіть якщо вони відбуваються за межами робочого місця і не в робочий час, або з використанням особистих пристроїв, також можуть являти собою переслідування.  </w:t>
      </w:r>
    </w:p>
    <w:p w:rsidR="5998D7C4" w:rsidP="5998D7C4" w:rsidRDefault="5998D7C4" w14:paraId="2F4B0ADA" w14:textId="2E5E7E96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088B9CC6" w:rsidRDefault="00E81203" w14:paraId="0000002A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Приклади сексуальних  домаг</w:t>
      </w:r>
      <w:r w:rsidRPr="088B9CC6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 xml:space="preserve">ань  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– це небажана словесна або фізична поведінка на основі статі. Вона  може включати: дотик, образливі  жести або коментарі, питання про статеве життя людини або сексуальні зауваження про зовнішність людини, демонстративний показ сексуальних візуальних з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ображень або предметів на робочому місці, сексуальні жарти.)   </w:t>
      </w:r>
    </w:p>
    <w:p w:rsidRPr="00E81203" w:rsidR="00BB439C" w:rsidP="088B9CC6" w:rsidRDefault="00E81203" w14:paraId="0000002B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Прикладами забороненої поведінки і типів дій, які можуть бути незаконними сексуальними домаганнями, є:  </w:t>
      </w:r>
    </w:p>
    <w:p w:rsidR="5998D7C4" w:rsidP="5998D7C4" w:rsidRDefault="5998D7C4" w14:paraId="41BA8870" w14:textId="28250F49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088B9CC6" w:rsidRDefault="00E81203" w14:paraId="0000002C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 xml:space="preserve">Фізичні напади сексуального характеру, такі як:  </w:t>
      </w:r>
    </w:p>
    <w:p w:rsidRPr="00E81203" w:rsidR="00BB439C" w:rsidP="088B9CC6" w:rsidRDefault="00E81203" w14:paraId="0000002D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Зґвалтування, сексуальне насильство, 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розбещення або спроби здійснити ці напади.  </w:t>
      </w:r>
    </w:p>
    <w:p w:rsidRPr="00E81203" w:rsidR="00BB439C" w:rsidP="088B9CC6" w:rsidRDefault="00E81203" w14:paraId="0000002E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Навмисна або ненавмисна фізична поведінка сексуального характеру, така як дотик, щипання, поплескування, хапання, дотик до тіла іншого співробітника або тикання в іншого співробітника.  </w:t>
      </w:r>
    </w:p>
    <w:p w:rsidRPr="00E81203" w:rsidR="00BB439C" w:rsidP="088B9CC6" w:rsidRDefault="00E81203" w14:paraId="0000002F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Ворожі дії або звернення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після отримання відмови у сексуальних контактах. </w:t>
      </w:r>
    </w:p>
    <w:p w:rsidRPr="00E81203" w:rsidR="00BB439C" w:rsidP="088B9CC6" w:rsidRDefault="00E81203" w14:paraId="00000030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Небажані сексуальні загравання, пропозиції або інші сексуальні коментарі, такі як:  </w:t>
      </w:r>
    </w:p>
    <w:p w:rsidRPr="00E81203" w:rsidR="00BB439C" w:rsidP="0DA00654" w:rsidRDefault="00E81203" w14:paraId="00000031" w14:textId="605827AB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DA00654" w:rsidR="3EF9881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апити сексуальних послуг, які супроводжуються прихованими або явними погрозами, пов’язаними з оцінкою ефективності робо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ти співробітника-позивача, просуванням по службі або іншими перевагами чи недоліками в роботі;  </w:t>
      </w:r>
    </w:p>
    <w:p w:rsidRPr="00E81203" w:rsidR="00BB439C" w:rsidP="0DA00654" w:rsidRDefault="00E81203" w14:paraId="00000032" w14:textId="17368E1F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Сексуально орієнтовані жести, шуми, зауваження, жарти та коментарі про сексуальність або сексуальний досвід людини.  </w:t>
      </w:r>
    </w:p>
    <w:p w:rsidRPr="00E81203" w:rsidR="00BB439C" w:rsidP="088B9CC6" w:rsidRDefault="00E81203" w14:paraId="00000033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Сексуальні або дискримінаційні прояви або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публікації деінде на робочому місці, такі як: демонстрація фотографій, плакатів, календарів, графіті, предметів, рекламних матеріалів, літератури, або інших матеріалів принизливого сексуального та порнографічного характеру на робочому місці або на комп’ют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ерах, по електронній пошті, мобільному телефону, соціальних мережах або аналогічних фізичних або цифрових локаціях.</w:t>
      </w:r>
    </w:p>
    <w:p w:rsidRPr="00E81203" w:rsidR="00BB439C" w:rsidP="088B9CC6" w:rsidRDefault="00E81203" w14:paraId="00000034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Вторгнення, руйнування або пошкодження робочого місця людини, інструментів або обладнання, або інше перешкоджання виконанню роботи.</w:t>
      </w:r>
    </w:p>
    <w:p w:rsidRPr="00E81203" w:rsidR="00BB439C" w:rsidP="088B9CC6" w:rsidRDefault="00E81203" w14:paraId="00000035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Саботува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ння роботи співробітника.</w:t>
      </w:r>
    </w:p>
    <w:p w:rsidRPr="00E81203" w:rsidR="00BB439C" w:rsidP="088B9CC6" w:rsidRDefault="00E81203" w14:paraId="00000036" w14:textId="77777777" w14:noSpellErr="1">
      <w:pPr>
        <w:numPr>
          <w:ilvl w:val="0"/>
          <w:numId w:val="3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Знущання, крики або обзивання.  </w:t>
      </w:r>
    </w:p>
    <w:p w:rsidRPr="00E81203" w:rsidR="00BB439C" w:rsidP="088B9CC6" w:rsidRDefault="00E81203" w14:paraId="00000037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Сексуальне насильство  – це сексуальний акт проти волі і без згоди працівника-позивача або в тих випадках, коли працівник-позивач не може дати згоду. Це включає в себе поведінку, яке вважається кри</w:t>
      </w: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мінальною відповідно до Кримінального кодексу.  </w:t>
      </w:r>
    </w:p>
    <w:p w:rsidRPr="00E81203" w:rsidR="00BB439C" w:rsidP="4CEBA5E5" w:rsidRDefault="00E81203" w14:paraId="00000038" w14:textId="75A73643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Відплата/помста  – це будь-який несприятливий вплив проти людини (заявника або члена </w:t>
      </w:r>
      <w:r w:rsidRPr="4CEBA5E5" w:rsidR="66EA6242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Організації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</w:t>
      </w:r>
      <w:r w:rsidRPr="4CEBA5E5" w:rsidR="24598B4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спеціаліста,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волонтера), тому що він або вона звинуватили в дискримінації або домаганні (включаючи сексуальне/гендерне домаганн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я) і звернулися зі скаргою до </w:t>
      </w:r>
      <w:r w:rsidRPr="4CEBA5E5" w:rsidR="56F8373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</w:t>
      </w:r>
      <w:r w:rsidRPr="4CEBA5E5" w:rsidR="0BE26DB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рганізації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або ж брали участь в </w:t>
      </w:r>
      <w:r w:rsidRPr="4CEBA5E5" w:rsidR="62D184E8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 щодо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дискримінації (наприклад, внутрішнє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розсл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ідування або судовий процес), в тому числі в якості свідка. </w:t>
      </w:r>
    </w:p>
    <w:p w:rsidR="5998D7C4" w:rsidP="5998D7C4" w:rsidRDefault="5998D7C4" w14:paraId="5CA25701" w14:textId="7C980E9B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088B9CC6" w:rsidRDefault="00E81203" w14:paraId="0000003A" w14:textId="2BB5A748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5EA506A4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Дискримінація, домагання (включаючи сексуальне домагання), помста і сексуальне насильство на робочому місці неприпустимі.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Така поведінка порушує організаційну політику </w:t>
      </w:r>
      <w:r w:rsidRPr="5998D7C4" w:rsidR="5115D2F1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Організації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, навіть якщо вона не є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порушенням закону. Члени та 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членкині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О</w:t>
      </w:r>
      <w:r w:rsidRPr="5998D7C4" w:rsidR="6148B2F8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рганізації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працівники та працівниці, </w:t>
      </w:r>
      <w:r w:rsidRPr="5998D7C4" w:rsidR="1DF403DF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залучені спеціалісти та спеціалістки, 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волонтери та волонтерки, що порушують ці положення, будуть піддані відповідному стягненню, яке може включати звільнення.  </w:t>
      </w:r>
    </w:p>
    <w:p w:rsidR="5998D7C4" w:rsidP="5998D7C4" w:rsidRDefault="5998D7C4" w14:paraId="33D88083" w14:textId="783F9D56">
      <w:pPr>
        <w:pStyle w:val="3"/>
        <w:keepNext w:val="0"/>
        <w:keepLines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088B9CC6" w:rsidRDefault="00E81203" w14:paraId="0000003B" w14:textId="77777777" w14:noSpellErr="1">
      <w:pPr>
        <w:pStyle w:val="3"/>
        <w:keepNext w:val="0"/>
        <w:keepLines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  <w:bookmarkStart w:name="_20ga75nm1l5h" w:id="8"/>
      <w:bookmarkEnd w:id="8"/>
      <w:r w:rsidRPr="088B9CC6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Скарга про дискримінацію, помсту, притиснення або сексуальне дома</w:t>
      </w:r>
      <w:r w:rsidRPr="088B9CC6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гання</w:t>
      </w:r>
    </w:p>
    <w:p w:rsidRPr="00E81203" w:rsidR="00BB439C" w:rsidP="088B9CC6" w:rsidRDefault="00E81203" w14:paraId="0000003C" w14:textId="392B05CB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Будь-якому члену/-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кині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О</w:t>
      </w:r>
      <w:r w:rsidRPr="5998D7C4" w:rsidR="51C5DEEA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рганізації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,</w:t>
      </w:r>
      <w:r w:rsidRPr="5998D7C4" w:rsidR="7E28B345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залученому спеціалісту/-ці, 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волонтеру/-ці,  який/-ка вважає, що він/вона зазнали дискримінації, переслідування, включаючи сексуальне, помсту або сексуальне насильство; або особи, які були свідком такої дискримінації, переслідування, помсти або сексуал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ьного насильства, слід негайно повідомити про обставини відповідно до процедури, викладеної нижче.   </w:t>
      </w:r>
    </w:p>
    <w:p w:rsidRPr="00E81203" w:rsidR="00BB439C" w:rsidP="088B9CC6" w:rsidRDefault="00E81203" w14:paraId="0000003D" w14:textId="53684CBD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3068458A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Організація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може </w:t>
      </w:r>
      <w:r w:rsidRPr="4CEBA5E5" w:rsidR="5743E57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перевірити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поведінку членів команди, волонтерів  які порушують її керівні принципи, навіть за відсутності скарги, і при необхідності вживат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и заходів щодо виправлення становища.  </w:t>
      </w:r>
    </w:p>
    <w:p w:rsidRPr="00E81203" w:rsidR="00BB439C" w:rsidP="088B9CC6" w:rsidRDefault="00E81203" w14:paraId="0000003E" w14:textId="02D8DF66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Члени та 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членкині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О</w:t>
      </w:r>
      <w:r w:rsidRPr="5998D7C4" w:rsidR="64AB1F29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рганізації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працівники та працівниці, </w:t>
      </w:r>
      <w:r w:rsidRPr="5998D7C4" w:rsidR="74EF8EFD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залучені спеціалісти та спеціалістки, 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волонтери та волонтерки,</w:t>
      </w:r>
      <w:r w:rsidRPr="5998D7C4" w:rsidR="5EA506A4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 xml:space="preserve"> мож</w:t>
      </w:r>
      <w:r w:rsidRPr="5998D7C4" w:rsidR="536B1099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уть</w:t>
      </w:r>
      <w:r w:rsidRPr="5998D7C4" w:rsidR="5EA506A4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 xml:space="preserve"> подати скаргу будь-кому з осіб, перелічених нижче:  </w:t>
      </w:r>
    </w:p>
    <w:p w:rsidRPr="00E81203" w:rsidR="00BB439C" w:rsidP="0DA00654" w:rsidRDefault="00E81203" w14:paraId="0000003F" w14:textId="1F345287">
      <w:pPr>
        <w:numPr>
          <w:ilvl w:val="0"/>
          <w:numId w:val="5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DA00654" w:rsidR="59A29299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Г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олові </w:t>
      </w:r>
      <w:r w:rsidRPr="0DA00654" w:rsidR="0845BB9F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Організації</w:t>
      </w:r>
    </w:p>
    <w:p w:rsidR="0845BB9F" w:rsidP="0DA00654" w:rsidRDefault="0845BB9F" w14:paraId="6BE1FA5A" w14:textId="0D32DD40">
      <w:pPr>
        <w:pStyle w:val="a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DA00654" w:rsidR="0845BB9F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Керівниці проекту </w:t>
      </w:r>
    </w:p>
    <w:p w:rsidRPr="00E81203" w:rsidR="00BB439C" w:rsidP="088B9CC6" w:rsidRDefault="00E81203" w14:paraId="00000042" w14:textId="5E5CFA25">
      <w:pPr>
        <w:numPr>
          <w:ilvl w:val="0"/>
          <w:numId w:val="5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особі, відповідальній за реалізацію </w:t>
      </w:r>
      <w:r w:rsidRPr="0DA00654" w:rsidR="7B562561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</w:t>
      </w:r>
      <w:r w:rsidRPr="0DA0065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олітики</w:t>
      </w:r>
    </w:p>
    <w:p w:rsidRPr="00E81203" w:rsidR="00BB439C" w:rsidP="088B9CC6" w:rsidRDefault="00E81203" w14:paraId="00000043" w14:textId="6D1B136B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Після отримання скарги, отримувач має 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оперативно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 повідомити </w:t>
      </w:r>
      <w:r w:rsidRPr="5998D7C4" w:rsidR="7E66ED8F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Голову організації</w:t>
      </w:r>
      <w:r w:rsidRPr="5998D7C4" w:rsidR="153B940D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. 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Якщо скарга направлена на </w:t>
      </w:r>
      <w:r w:rsidRPr="5998D7C4" w:rsidR="004EFB80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Голову Організації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, то повідомити п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отрібно </w:t>
      </w:r>
      <w:r w:rsidRPr="5998D7C4" w:rsidR="494AAE0F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Правління організації</w:t>
      </w:r>
      <w:r w:rsidRPr="5998D7C4" w:rsidR="5EA506A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.   </w:t>
      </w:r>
    </w:p>
    <w:p w:rsidR="5998D7C4" w:rsidP="5998D7C4" w:rsidRDefault="5998D7C4" w14:paraId="4F5A0899" w14:textId="69CCC172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088B9CC6" w:rsidRDefault="00E81203" w14:paraId="00000044" w14:textId="6483F1D6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>Рекомендовано залучити наступних осіб до розгляду скарг:  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</w:p>
    <w:p w:rsidRPr="00E81203" w:rsidR="00BB439C" w:rsidP="088B9CC6" w:rsidRDefault="00E81203" w14:paraId="00000045" w14:textId="77777777" w14:noSpellErr="1">
      <w:pPr>
        <w:numPr>
          <w:ilvl w:val="0"/>
          <w:numId w:val="2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контактну особу, яка отримала скаргу </w:t>
      </w:r>
    </w:p>
    <w:p w:rsidRPr="00E81203" w:rsidR="00BB439C" w:rsidP="088B9CC6" w:rsidRDefault="00E81203" w14:paraId="00000046" w14:textId="77777777" w14:noSpellErr="1">
      <w:pPr>
        <w:numPr>
          <w:ilvl w:val="0"/>
          <w:numId w:val="2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юриста (власного чи залученого) </w:t>
      </w:r>
    </w:p>
    <w:p w:rsidRPr="00E81203" w:rsidR="00BB439C" w:rsidP="0DA00654" w:rsidRDefault="00E81203" w14:paraId="00000047" w14:textId="2CA86759">
      <w:pPr>
        <w:numPr>
          <w:ilvl w:val="0"/>
          <w:numId w:val="2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DA00654" w:rsidR="34E61B4E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Голову Організації</w:t>
      </w:r>
    </w:p>
    <w:p w:rsidR="34E61B4E" w:rsidP="0DA00654" w:rsidRDefault="34E61B4E" w14:paraId="4EA86326" w14:textId="720FB315">
      <w:pPr>
        <w:pStyle w:val="a"/>
        <w:numPr>
          <w:ilvl w:val="0"/>
          <w:numId w:val="2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0DA00654" w:rsidR="34E61B4E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Керівницю проекту</w:t>
      </w:r>
    </w:p>
    <w:p w:rsidRPr="00E81203" w:rsidR="00BB439C" w:rsidP="088B9CC6" w:rsidRDefault="00E81203" w14:paraId="00000048" w14:textId="272C5B7A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13FF3D90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Вказані особи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ма</w:t>
      </w:r>
      <w:r w:rsidRPr="4CEBA5E5" w:rsidR="7FAE563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ють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зібратис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я онлайн чи 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оффлайн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впродовж 24 годин, якщо припадає на вихідні –</w:t>
      </w:r>
      <w:r w:rsidRPr="4CEBA5E5" w:rsidR="33001C2B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впродовж 72 годин. Після першого обговорення отриманої скарги, у випадку запитань,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</w:t>
      </w:r>
      <w:r w:rsidRPr="4CEBA5E5" w:rsidR="6708B582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може бути запрошено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додаткову інформацію від скаржника. Проте, беручи до уваги особливу чуттєвість питанн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я, заохочу</w:t>
      </w:r>
      <w:r w:rsidRPr="4CEBA5E5" w:rsidR="36E1CE4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є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ться ґрунтовн</w:t>
      </w:r>
      <w:r w:rsidRPr="4CEBA5E5" w:rsidR="197441A5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е</w:t>
      </w:r>
      <w:r w:rsidRPr="4CEBA5E5" w:rsidR="3EEE6BF0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</w:t>
      </w:r>
      <w:r w:rsidRPr="4CEBA5E5" w:rsidR="46EB42C3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визначення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наступних кроків, щоб додатково не травмувати скаржника.   </w:t>
      </w:r>
    </w:p>
    <w:p w:rsidRPr="00E81203" w:rsidR="00BB439C" w:rsidP="4CEBA5E5" w:rsidRDefault="00E81203" w14:paraId="00000049" w14:textId="4681CDB5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</w:pP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В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продовж 24 годин від моменту отримання скарги мають бути </w:t>
      </w:r>
      <w:r w:rsidRPr="4CEBA5E5" w:rsidR="33389DDB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вжиті заходи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для забезпечення комфортного середовища праці для скаржника  – уникн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ення необхідності робочого спілкування із кривдником. Якщо необхідно, кривдника відсторонюють від робочих обов’язків, повідомляючи про надходження скарги, до завершення </w:t>
      </w:r>
      <w:r w:rsidRPr="4CEBA5E5" w:rsidR="6272F9FB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та прийняття рішення.  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</w:t>
      </w:r>
    </w:p>
    <w:p w:rsidRPr="00E81203" w:rsidR="00BB439C" w:rsidP="0DA00654" w:rsidRDefault="00E81203" w14:paraId="0000004A" w14:textId="60C4E28B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</w:pP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О</w:t>
      </w:r>
      <w:r w:rsidRPr="4CEBA5E5" w:rsidR="60DB6F75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рганізація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рекомендує повідомляти про порушення н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е зволікаючи та чекаючи, що це 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минеться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, щоб можна було 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оперативно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 реагувати та проводити </w:t>
      </w:r>
      <w:r w:rsidRPr="4CEBA5E5" w:rsidR="705C6F7B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</w:t>
      </w:r>
      <w:r w:rsidRPr="4CEBA5E5" w:rsidR="705C6F7B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обставин скарги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, не залишаючи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особу, яка постраждала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на одинці з кривдником. Не існує фіксованого граничного терміну подачі скарг до О</w:t>
      </w:r>
      <w:r w:rsidRPr="4CEBA5E5" w:rsidR="33E4E768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рганізації 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про випадки дискримінації,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переслідування, помсти або сексуального насильства.  </w:t>
      </w:r>
      <w:r w:rsidRPr="4CEBA5E5" w:rsidR="5EA506A4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 xml:space="preserve"> </w:t>
      </w:r>
    </w:p>
    <w:p w:rsidR="5998D7C4" w:rsidP="5998D7C4" w:rsidRDefault="5998D7C4" w14:paraId="450EEBC1" w14:textId="4336A99A">
      <w:pPr>
        <w:pStyle w:val="3"/>
        <w:keepNext w:val="0"/>
        <w:keepLines w:val="0"/>
        <w:spacing w:before="0" w:beforeAutospacing="off" w:after="0" w:afterAutospacing="off" w:line="240" w:lineRule="auto"/>
        <w:ind w:left="0" w:right="0" w:firstLine="9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</w:p>
    <w:p w:rsidRPr="00E81203" w:rsidR="00BB439C" w:rsidP="5998D7C4" w:rsidRDefault="00E81203" w14:paraId="0000004B" w14:textId="77777777" w14:noSpellErr="1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  <w:bookmarkStart w:name="_mr0i2xc486tw" w:id="9"/>
      <w:bookmarkEnd w:id="9"/>
      <w:r w:rsidRPr="5998D7C4" w:rsidR="5EA506A4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  <w:t>Вирішення скарг  </w:t>
      </w:r>
      <w:r w:rsidRPr="5998D7C4" w:rsidR="5EA506A4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  <w:t xml:space="preserve"> </w:t>
      </w:r>
    </w:p>
    <w:p w:rsidRPr="00E81203" w:rsidR="00BB439C" w:rsidP="4CEBA5E5" w:rsidRDefault="00E81203" w14:paraId="0000004C" w14:textId="7A1FCC5D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71DD830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Особа, що в</w:t>
      </w:r>
      <w:r w:rsidRPr="4CEBA5E5" w:rsidR="5F2DF202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ідповідальн</w:t>
      </w:r>
      <w:r w:rsidRPr="4CEBA5E5" w:rsidR="5B07090D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а</w:t>
      </w:r>
      <w:r w:rsidRPr="4CEBA5E5" w:rsidR="5F2DF202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  <w:r w:rsidRPr="4CEBA5E5" w:rsidR="5F2DF202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за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прийом скарг</w:t>
      </w:r>
      <w:r w:rsidRPr="4CEBA5E5" w:rsidR="5D239680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має провести швидке, ретельне і неупереджене </w:t>
      </w:r>
      <w:r w:rsidRPr="4CEBA5E5" w:rsidR="204EA3F1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. Впродовж 20 робочих дн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ів, має </w:t>
      </w:r>
      <w:r w:rsidRPr="4CEBA5E5" w:rsidR="5B987DC0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бути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здійсн</w:t>
      </w:r>
      <w:r w:rsidRPr="4CEBA5E5" w:rsidR="2C511288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ено </w:t>
      </w:r>
      <w:r w:rsidRPr="4CEBA5E5" w:rsidR="53ADA992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та прийнят</w:t>
      </w:r>
      <w:r w:rsidRPr="4CEBA5E5" w:rsidR="44E6FAFF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рішення, забезпечуючи конфіденційність </w:t>
      </w:r>
      <w:r w:rsidRPr="4CEBA5E5" w:rsidR="046861C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внутрішнього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розсл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ідування в максимально можливій мірі. </w:t>
      </w:r>
      <w:r w:rsidRPr="4CEBA5E5" w:rsidR="4885C701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Мо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же </w:t>
      </w:r>
      <w:r w:rsidRPr="4CEBA5E5" w:rsidR="392E034E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бути визнано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за необхідне збільш</w:t>
      </w:r>
      <w:r w:rsidRPr="4CEBA5E5" w:rsidR="2E78AEE0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ення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термін</w:t>
      </w:r>
      <w:r w:rsidRPr="4CEBA5E5" w:rsidR="604D2C1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у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завершення </w:t>
      </w:r>
      <w:r w:rsidRPr="4CEBA5E5" w:rsidR="00A431A0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при деяких обставинах. </w:t>
      </w:r>
      <w:r w:rsidRPr="4CEBA5E5" w:rsidR="49150BDA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аявн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ику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передбачуваному порушнику і </w:t>
      </w:r>
      <w:r w:rsidRPr="4CEBA5E5" w:rsidR="7D2549C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Голові Організації буде направлено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повідомлення про продовження і, де це необхідно і доречно, 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нада</w:t>
      </w:r>
      <w:r w:rsidRPr="4CEBA5E5" w:rsidR="228FABF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но н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овий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графік завершення </w:t>
      </w:r>
      <w:r w:rsidRPr="4CEBA5E5" w:rsidR="177B1885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.  </w:t>
      </w:r>
    </w:p>
    <w:p w:rsidRPr="00E81203" w:rsidR="00BB439C" w:rsidP="4CEBA5E5" w:rsidRDefault="00E81203" w14:paraId="0000004D" w14:textId="10ED4B12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Якщо в скарзі стверджується про можливе порушення </w:t>
      </w:r>
      <w:r w:rsidRPr="4CEBA5E5" w:rsidR="07B1849C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О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рганізаційної політики, </w:t>
      </w:r>
      <w:r w:rsidRPr="4CEBA5E5" w:rsidR="7A3D9B3B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бу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де включати в себе співбесіду з обома сторонами, а також з особою, яка</w:t>
      </w:r>
      <w:r w:rsidRPr="4CEBA5E5" w:rsidR="6C7F3B8E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надала початкову скаргу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якщо виявляють розбіжності у версіях. Обидві сторони матимуть можливість бути почутими і представити інформацію.  </w:t>
      </w:r>
    </w:p>
    <w:p w:rsidRPr="00E81203" w:rsidR="00BB439C" w:rsidP="088B9CC6" w:rsidRDefault="00E81203" w14:paraId="0000004E" w14:textId="533C2EBA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Якщо </w:t>
      </w:r>
      <w:r w:rsidRPr="5998D7C4" w:rsidR="7CBCA21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Голова Організації 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приходить до висновку, що мало 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місце порушення цієї Політики, відповідні 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суперва</w:t>
      </w:r>
      <w:bookmarkStart w:name="_GoBack" w:id="10"/>
      <w:bookmarkEnd w:id="10"/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йзери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 мають прийняти негайні та належні заходи щодо виправлення становища, включаючи дисциплінарні заходи. </w:t>
      </w:r>
    </w:p>
    <w:p w:rsidR="5998D7C4" w:rsidP="5998D7C4" w:rsidRDefault="5998D7C4" w14:paraId="49241220" w14:textId="254E9723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</w:pPr>
    </w:p>
    <w:p w:rsidRPr="00E81203" w:rsidR="00BB439C" w:rsidP="088B9CC6" w:rsidRDefault="00E81203" w14:paraId="0000004F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lang w:val="uk-UA"/>
        </w:rPr>
        <w:t xml:space="preserve">Залежно від обставин дисциплінарні заходи можуть включати, але не обмежуються наступними:  </w:t>
      </w:r>
    </w:p>
    <w:p w:rsidRPr="00E81203" w:rsidR="00BB439C" w:rsidP="088B9CC6" w:rsidRDefault="00E81203" w14:paraId="00000050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>усне або письмове попередження;</w:t>
      </w:r>
    </w:p>
    <w:p w:rsidRPr="00E81203" w:rsidR="00BB439C" w:rsidP="088B9CC6" w:rsidRDefault="00E81203" w14:paraId="00000051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>негативний відгук при оцінці роботи;</w:t>
      </w:r>
    </w:p>
    <w:p w:rsidRPr="00E81203" w:rsidR="00BB439C" w:rsidP="088B9CC6" w:rsidRDefault="00E81203" w14:paraId="00000052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>зменшення заробітної плати;</w:t>
      </w:r>
    </w:p>
    <w:p w:rsidRPr="00E81203" w:rsidR="00BB439C" w:rsidP="088B9CC6" w:rsidRDefault="00E81203" w14:paraId="00000053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 переведення;</w:t>
      </w:r>
    </w:p>
    <w:p w:rsidRPr="00E81203" w:rsidR="00BB439C" w:rsidP="088B9CC6" w:rsidRDefault="00E81203" w14:paraId="00000054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>переведення на нижчу посаду;</w:t>
      </w:r>
    </w:p>
    <w:p w:rsidRPr="00E81203" w:rsidR="00BB439C" w:rsidP="088B9CC6" w:rsidRDefault="00E81203" w14:paraId="00000055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тимчасове відсторонення; </w:t>
      </w:r>
    </w:p>
    <w:p w:rsidRPr="00E81203" w:rsidR="00BB439C" w:rsidP="088B9CC6" w:rsidRDefault="00E81203" w14:paraId="00000056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>звільнення;</w:t>
      </w:r>
    </w:p>
    <w:p w:rsidRPr="00E81203" w:rsidR="00BB439C" w:rsidP="088B9CC6" w:rsidRDefault="00E81203" w14:paraId="00000057" w14:textId="77777777" w14:noSpellErr="1">
      <w:pPr>
        <w:numPr>
          <w:ilvl w:val="0"/>
          <w:numId w:val="4"/>
        </w:num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lang w:val="uk-UA"/>
        </w:rPr>
        <w:t>виключення з організації</w:t>
      </w:r>
    </w:p>
    <w:p w:rsidRPr="00E81203" w:rsidR="00BB439C" w:rsidP="088B9CC6" w:rsidRDefault="00BB439C" w14:paraId="00000058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yellow"/>
          <w:lang w:val="uk-UA"/>
        </w:rPr>
      </w:pPr>
    </w:p>
    <w:p w:rsidRPr="00E81203" w:rsidR="00BB439C" w:rsidP="4CEBA5E5" w:rsidRDefault="00E81203" w14:paraId="00000059" w14:textId="1FAC47AB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Якщо, вчинені дії є також порушенням кримінального кодексу, </w:t>
      </w:r>
      <w:r w:rsidRPr="4CEBA5E5" w:rsidR="76DA3DD1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Громадська організація “Грін-</w:t>
      </w:r>
      <w:r w:rsidRPr="4CEBA5E5" w:rsidR="76DA3DD1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Ландія</w:t>
      </w:r>
      <w:r w:rsidRPr="4CEBA5E5" w:rsidR="76DA3DD1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”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зобов’язана повідомити правоохоронні органи. Якщо дії є адміністративним порушенням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, процес </w:t>
      </w:r>
      <w:r w:rsidRPr="4CEBA5E5" w:rsidR="3B98B60A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залишається суворо внутрішнім.   </w:t>
      </w:r>
    </w:p>
    <w:p w:rsidRPr="00E81203" w:rsidR="00BB439C" w:rsidP="088B9CC6" w:rsidRDefault="00E81203" w14:paraId="0000005A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69596EFA" w:rsidR="69596EFA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  </w:t>
      </w:r>
      <w:r w:rsidRPr="69596EFA" w:rsidR="69596EFA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</w:p>
    <w:p w:rsidR="69596EFA" w:rsidP="69596EFA" w:rsidRDefault="69596EFA" w14:paraId="018EA45A" w14:textId="5308D9F5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="69596EFA" w:rsidP="69596EFA" w:rsidRDefault="69596EFA" w14:paraId="14A6297B" w14:textId="7E315E9F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="69596EFA" w:rsidP="69596EFA" w:rsidRDefault="69596EFA" w14:paraId="1781B795" w14:textId="174F34E0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5998D7C4" w:rsidRDefault="00E81203" w14:paraId="0000005B" w14:textId="77777777" w14:noSpellErr="1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  <w:bookmarkStart w:name="_j9qotj5lelhv" w:id="11"/>
      <w:bookmarkEnd w:id="11"/>
      <w:r w:rsidRPr="5998D7C4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 xml:space="preserve">Конфіденційність   </w:t>
      </w:r>
    </w:p>
    <w:p w:rsidRPr="00E81203" w:rsidR="00BB439C" w:rsidP="4CEBA5E5" w:rsidRDefault="00E81203" w14:paraId="0000005C" w14:textId="1A0E60D8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2F9CBEC1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Організація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буде зберігати ко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нфіденційність скарги і конфіденційність залучених осіб в максимально можливій мірі, відповідно для проведення ретельного та повного </w:t>
      </w:r>
      <w:r w:rsidRPr="4CEBA5E5" w:rsidR="6779799F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і в межах, дозволених законом.  </w:t>
      </w:r>
    </w:p>
    <w:p w:rsidR="5998D7C4" w:rsidP="5998D7C4" w:rsidRDefault="5998D7C4" w14:paraId="26BB2904" w14:textId="3E7F1D76">
      <w:pPr>
        <w:pStyle w:val="3"/>
        <w:keepNext w:val="0"/>
        <w:keepLines w:val="0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</w:p>
    <w:p w:rsidRPr="00E81203" w:rsidR="00BB439C" w:rsidP="5998D7C4" w:rsidRDefault="00E81203" w14:paraId="0000005D" w14:textId="77777777" w14:noSpellErr="1">
      <w:pPr>
        <w:pStyle w:val="3"/>
        <w:keepNext w:val="0"/>
        <w:keepLines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</w:pPr>
      <w:bookmarkStart w:name="_q36szh5gng8m" w:id="12"/>
      <w:bookmarkEnd w:id="12"/>
      <w:r w:rsidRPr="5998D7C4" w:rsidR="00E81203">
        <w:rPr>
          <w:rFonts w:ascii="Times New Roman" w:hAnsi="Times New Roman" w:eastAsia="Times New Roman" w:cs="Times New Roman"/>
          <w:b w:val="1"/>
          <w:bCs w:val="1"/>
          <w:color w:val="0A0A0A"/>
          <w:sz w:val="24"/>
          <w:szCs w:val="24"/>
          <w:highlight w:val="white"/>
          <w:lang w:val="uk-UA"/>
        </w:rPr>
        <w:t xml:space="preserve">Політика не-відплати  </w:t>
      </w:r>
    </w:p>
    <w:p w:rsidRPr="00E81203" w:rsidR="00BB439C" w:rsidP="4CEBA5E5" w:rsidRDefault="00E81203" w14:paraId="0000005E" w14:textId="12F6318E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4CEBA5E5" w:rsidR="02A636B4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Організація 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жодним чином не буде вживати відповідних зах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одів проти особи, яка повідомляє про якесь порушення цієї Політики, бере участь в будь-якому </w:t>
      </w:r>
      <w:r w:rsidRPr="4CEBA5E5" w:rsidR="29692782">
        <w:rPr>
          <w:rFonts w:ascii="Times New Roman" w:hAnsi="Times New Roman" w:eastAsia="Times New Roman" w:cs="Times New Roman"/>
          <w:color w:val="0A0A0A"/>
          <w:sz w:val="24"/>
          <w:szCs w:val="24"/>
          <w:lang w:val="uk-UA"/>
        </w:rPr>
        <w:t>з'ясування обставин скарги</w:t>
      </w:r>
      <w:r w:rsidRPr="4CEBA5E5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або іншим чином виступає проти передбачуваної дискримінації, домагань, включаючи сексуальні, або помсти, в тому числі в якості свідка.     </w:t>
      </w:r>
    </w:p>
    <w:p w:rsidRPr="00E81203" w:rsidR="00BB439C" w:rsidP="088B9CC6" w:rsidRDefault="00E81203" w14:paraId="0000005F" w14:textId="6CC42745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Той, хто 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вважає, що він зазнав переслідувань, повинен негайно повідомити про це відповідно до  процедури, передбачені в цій Політиці, для подачі скарг на дискримінацію, домагання (включаючи сексуальне/гендерне домагання)</w:t>
      </w:r>
      <w:r w:rsidRPr="5998D7C4" w:rsidR="509557C6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>або сексуальне насильство. Будь-яка особа,</w:t>
      </w:r>
      <w:r w:rsidRPr="5998D7C4" w:rsidR="00E81203"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  <w:t xml:space="preserve"> викрита у відповідних діях проти іншої особи, буде піддано такому ж дисциплінарному стягненню, передбаченому цією Політикою за інші порушення.  </w:t>
      </w:r>
    </w:p>
    <w:p w:rsidRPr="00E81203" w:rsidR="00BB439C" w:rsidP="088B9CC6" w:rsidRDefault="00BB439C" w14:paraId="00000060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</w:pPr>
    </w:p>
    <w:p w:rsidRPr="00E81203" w:rsidR="00BB439C" w:rsidP="5998D7C4" w:rsidRDefault="00E81203" w14:paraId="00000063" w14:textId="77777777" w14:noSpellErr="1">
      <w:pPr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  <w:t>Впровадження  Політики</w:t>
      </w:r>
    </w:p>
    <w:p w:rsidRPr="00E81203" w:rsidR="00BB439C" w:rsidP="088B9CC6" w:rsidRDefault="00E81203" w14:paraId="00000064" w14:textId="5E91157F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ГО</w:t>
      </w:r>
      <w:r w:rsidRPr="5998D7C4" w:rsidR="57DFF686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“Грін-</w:t>
      </w:r>
      <w:r w:rsidRPr="5998D7C4" w:rsidR="57DFF686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Ландія</w:t>
      </w:r>
      <w:r w:rsidRPr="5998D7C4" w:rsidR="57DFF686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”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забезпечує широке розповсюдження даної Політики серед всіх відповідних осіб та інституцій, що залучені до роботи </w:t>
      </w:r>
      <w:r w:rsidRPr="5998D7C4" w:rsidR="151F92B0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О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рганізації. Всі нові члени/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кині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правління, співробіт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ники/ці,</w:t>
      </w:r>
      <w:r w:rsidRPr="5998D7C4" w:rsidR="3E8714CE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залучені спеціалісти/-ки,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волонтери/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ки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, консультанти/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ки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та партнери/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ки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організації мають бути проінформовані про зміст даної політики.</w:t>
      </w:r>
    </w:p>
    <w:p w:rsidR="5998D7C4" w:rsidP="5998D7C4" w:rsidRDefault="5998D7C4" w14:paraId="7F9781F0" w14:textId="655CEF07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</w:pPr>
    </w:p>
    <w:p w:rsidRPr="00E81203" w:rsidR="00BB439C" w:rsidP="5998D7C4" w:rsidRDefault="00E81203" w14:paraId="00000065" w14:textId="77777777" w14:noSpellErr="1">
      <w:pPr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  <w:t>Моніторинг дотримання політики</w:t>
      </w:r>
    </w:p>
    <w:p w:rsidRPr="00E81203" w:rsidR="00BB439C" w:rsidP="5998D7C4" w:rsidRDefault="00E81203" w14:paraId="00000066" w14:textId="4A198AE9">
      <w:pPr>
        <w:pStyle w:val="a"/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5998D7C4" w:rsidR="51FD9244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За потреби,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відповідальна </w:t>
      </w:r>
      <w:r w:rsidRPr="5998D7C4" w:rsidR="04597CD0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за реалізацію Політики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особа, </w:t>
      </w:r>
      <w:r w:rsidRPr="5998D7C4" w:rsidR="1684DBB8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може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готу</w:t>
      </w:r>
      <w:r w:rsidRPr="5998D7C4" w:rsidR="1A25549F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вати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та оприлюдню</w:t>
      </w:r>
      <w:r w:rsidRPr="5998D7C4" w:rsidR="76230901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вати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для членів/кинь, працівн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иків/-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ць</w:t>
      </w:r>
      <w:r w:rsidRPr="5998D7C4" w:rsidR="44A38694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, спеціалістів/-</w:t>
      </w:r>
      <w:r w:rsidRPr="5998D7C4" w:rsidR="44A38694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ток</w:t>
      </w:r>
      <w:r w:rsidRPr="5998D7C4" w:rsidR="44A38694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,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волонтерів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/-рок О</w:t>
      </w:r>
      <w:r w:rsidRPr="5998D7C4" w:rsidR="347C3382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рганізації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щорічний звіт, який містить, зокрема, такі дані:</w:t>
      </w:r>
    </w:p>
    <w:p w:rsidRPr="00E81203" w:rsidR="00BB439C" w:rsidP="088B9CC6" w:rsidRDefault="00E81203" w14:paraId="00000067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- проведені заходи щодо попередження сексуальних домагань на робочому місці та інших форм насильства за ознакою статі;</w:t>
      </w:r>
    </w:p>
    <w:p w:rsidRPr="00E81203" w:rsidR="00BB439C" w:rsidP="088B9CC6" w:rsidRDefault="00E81203" w14:paraId="00000068" w14:textId="0DC57754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- проведені тренінги, навчання щодо попередження сексуальних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домагань та інших форм насильства за ознакою статі;</w:t>
      </w:r>
    </w:p>
    <w:p w:rsidRPr="00E81203" w:rsidR="00BB439C" w:rsidP="088B9CC6" w:rsidRDefault="00E81203" w14:paraId="00000069" w14:textId="4692DC09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</w:pP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- кількість скарг щодо сексуальних домагань</w:t>
      </w:r>
      <w:r w:rsidRPr="5998D7C4" w:rsidR="13CEA61B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 xml:space="preserve"> </w:t>
      </w:r>
      <w:r w:rsidRPr="5998D7C4" w:rsidR="00E81203">
        <w:rPr>
          <w:rFonts w:ascii="Times New Roman" w:hAnsi="Times New Roman" w:eastAsia="Times New Roman" w:cs="Times New Roman"/>
          <w:sz w:val="24"/>
          <w:szCs w:val="24"/>
          <w:highlight w:val="white"/>
          <w:lang w:val="uk-UA"/>
        </w:rPr>
        <w:t>та інших форм насильства за ознакою статі, аналіз питань, що були порушені у скаргах.</w:t>
      </w:r>
    </w:p>
    <w:p w:rsidRPr="00E81203" w:rsidR="00BB439C" w:rsidP="088B9CC6" w:rsidRDefault="00E81203" w14:paraId="0000006C" w14:noSpellErr="1" w14:textId="0EA82E77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</w:pPr>
      <w:r w:rsidRPr="088B9CC6" w:rsidR="00E81203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  <w:lang w:val="uk-UA"/>
        </w:rPr>
        <w:t xml:space="preserve"> </w:t>
      </w:r>
    </w:p>
    <w:p w:rsidRPr="00E81203" w:rsidR="00BB439C" w:rsidP="088B9CC6" w:rsidRDefault="00BB439C" w14:paraId="0000006D" w14:textId="77777777" w14:noSpellErr="1">
      <w:pPr>
        <w:spacing w:before="0" w:beforeAutospacing="off" w:after="0" w:afterAutospacing="off" w:line="240" w:lineRule="auto"/>
        <w:ind w:left="0" w:right="0" w:firstLine="720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highlight w:val="white"/>
          <w:lang w:val="uk-UA"/>
        </w:rPr>
      </w:pPr>
    </w:p>
    <w:sectPr w:rsidRPr="00E81203" w:rsidR="00BB439C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ra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6">
    <w:nsid w:val="50564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31e2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C42FCE"/>
    <w:multiLevelType w:val="multilevel"/>
    <w:tmpl w:val="480422C2"/>
    <w:lvl w:ilvl="0">
      <w:start w:val="1"/>
      <w:numFmt w:val="bullet"/>
      <w:lvlText w:val="●"/>
      <w:lvlJc w:val="left"/>
      <w:pPr>
        <w:ind w:left="720" w:hanging="360"/>
      </w:pPr>
      <w:rPr>
        <w:rFonts w:ascii="Lora" w:hAnsi="Lora" w:eastAsia="Lora" w:cs="Lora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755BC0"/>
    <w:multiLevelType w:val="hybridMultilevel"/>
    <w:tmpl w:val="52D4E90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Lora" w:hAnsi="Lora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 w:ascii="" w:hAnsi="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" w:hAnsi="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" w:hAnsi="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 w:ascii="" w:hAnsi="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" w:hAnsi="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" w:hAnsi="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" w:hAnsi="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" w:hAnsi=""/>
        <w:u w:val="none"/>
      </w:rPr>
    </w:lvl>
  </w:abstractNum>
  <w:abstractNum w:abstractNumId="2" w15:restartNumberingAfterBreak="0">
    <w:nsid w:val="40E126BB"/>
    <w:multiLevelType w:val="multilevel"/>
    <w:tmpl w:val="072C74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402A9B"/>
    <w:multiLevelType w:val="multilevel"/>
    <w:tmpl w:val="7512D0C4"/>
    <w:lvl w:ilvl="0">
      <w:start w:val="1"/>
      <w:numFmt w:val="bullet"/>
      <w:lvlText w:val="●"/>
      <w:lvlJc w:val="left"/>
      <w:pPr>
        <w:ind w:left="720" w:hanging="360"/>
      </w:pPr>
      <w:rPr>
        <w:rFonts w:ascii="Lora" w:hAnsi="Lora" w:eastAsia="Lora" w:cs="Lora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7760EA"/>
    <w:multiLevelType w:val="multilevel"/>
    <w:tmpl w:val="8862BA32"/>
    <w:lvl w:ilvl="0">
      <w:start w:val="1"/>
      <w:numFmt w:val="bullet"/>
      <w:lvlText w:val="●"/>
      <w:lvlJc w:val="left"/>
      <w:pPr>
        <w:ind w:left="720" w:hanging="360"/>
      </w:pPr>
      <w:rPr>
        <w:rFonts w:ascii="Lora" w:hAnsi="Lora" w:eastAsia="Lora" w:cs="Lora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7">
    <w:abstractNumId w:val="6"/>
  </w:num>
  <w:num w:numId="6">
    <w:abstractNumId w:val="5"/>
  </w: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C"/>
    <w:rsid w:val="0005518E"/>
    <w:rsid w:val="0009FDA9"/>
    <w:rsid w:val="004EFB80"/>
    <w:rsid w:val="00A431A0"/>
    <w:rsid w:val="00BB439C"/>
    <w:rsid w:val="00E81203"/>
    <w:rsid w:val="020E0C05"/>
    <w:rsid w:val="02A636B4"/>
    <w:rsid w:val="03098F00"/>
    <w:rsid w:val="04597CD0"/>
    <w:rsid w:val="046861CC"/>
    <w:rsid w:val="04B60888"/>
    <w:rsid w:val="064B997C"/>
    <w:rsid w:val="07B1849C"/>
    <w:rsid w:val="0845BB9F"/>
    <w:rsid w:val="088B9CC6"/>
    <w:rsid w:val="0BB16B39"/>
    <w:rsid w:val="0BE26DB3"/>
    <w:rsid w:val="0C0435F3"/>
    <w:rsid w:val="0CD6E303"/>
    <w:rsid w:val="0DA00654"/>
    <w:rsid w:val="0E9009A6"/>
    <w:rsid w:val="0FBA4EBB"/>
    <w:rsid w:val="0FE81208"/>
    <w:rsid w:val="10046C2B"/>
    <w:rsid w:val="10B5D0AD"/>
    <w:rsid w:val="117F2A02"/>
    <w:rsid w:val="118BCFEF"/>
    <w:rsid w:val="12F6A17D"/>
    <w:rsid w:val="1314D457"/>
    <w:rsid w:val="13CEA61B"/>
    <w:rsid w:val="13FF3D90"/>
    <w:rsid w:val="14C370B1"/>
    <w:rsid w:val="151F92B0"/>
    <w:rsid w:val="153B940D"/>
    <w:rsid w:val="1579462F"/>
    <w:rsid w:val="162E423F"/>
    <w:rsid w:val="165F4112"/>
    <w:rsid w:val="1684DBB8"/>
    <w:rsid w:val="16D7646E"/>
    <w:rsid w:val="177B1885"/>
    <w:rsid w:val="197441A5"/>
    <w:rsid w:val="1A25549F"/>
    <w:rsid w:val="1B35F867"/>
    <w:rsid w:val="1BCF7C89"/>
    <w:rsid w:val="1C62B278"/>
    <w:rsid w:val="1DF403DF"/>
    <w:rsid w:val="204EA3F1"/>
    <w:rsid w:val="228FABF4"/>
    <w:rsid w:val="236435D7"/>
    <w:rsid w:val="24598B43"/>
    <w:rsid w:val="264D8A14"/>
    <w:rsid w:val="29692782"/>
    <w:rsid w:val="2A37591C"/>
    <w:rsid w:val="2BD36322"/>
    <w:rsid w:val="2C511288"/>
    <w:rsid w:val="2E78AEE0"/>
    <w:rsid w:val="2F9CBEC1"/>
    <w:rsid w:val="3068458A"/>
    <w:rsid w:val="308B119A"/>
    <w:rsid w:val="3094F75E"/>
    <w:rsid w:val="3230C7BF"/>
    <w:rsid w:val="33001C2B"/>
    <w:rsid w:val="33389DDB"/>
    <w:rsid w:val="33C2B25C"/>
    <w:rsid w:val="33E4E768"/>
    <w:rsid w:val="345F667D"/>
    <w:rsid w:val="347C3382"/>
    <w:rsid w:val="34E61B4E"/>
    <w:rsid w:val="355A54D8"/>
    <w:rsid w:val="3631956F"/>
    <w:rsid w:val="36B3A04E"/>
    <w:rsid w:val="36E1CE44"/>
    <w:rsid w:val="3736EAD1"/>
    <w:rsid w:val="3766233C"/>
    <w:rsid w:val="3891F59A"/>
    <w:rsid w:val="392E034E"/>
    <w:rsid w:val="3B98B60A"/>
    <w:rsid w:val="3C39945F"/>
    <w:rsid w:val="3C55EE82"/>
    <w:rsid w:val="3D6566BD"/>
    <w:rsid w:val="3E8714CE"/>
    <w:rsid w:val="3EEE6BF0"/>
    <w:rsid w:val="3EF6226A"/>
    <w:rsid w:val="3EF98813"/>
    <w:rsid w:val="3F01371E"/>
    <w:rsid w:val="3F8D8F44"/>
    <w:rsid w:val="408759DD"/>
    <w:rsid w:val="41C56C94"/>
    <w:rsid w:val="43088384"/>
    <w:rsid w:val="44A38694"/>
    <w:rsid w:val="44A453E5"/>
    <w:rsid w:val="44E6FAFF"/>
    <w:rsid w:val="46EB42C3"/>
    <w:rsid w:val="4718646E"/>
    <w:rsid w:val="4885C701"/>
    <w:rsid w:val="49150BDA"/>
    <w:rsid w:val="494AAE0F"/>
    <w:rsid w:val="495E9E25"/>
    <w:rsid w:val="49CF99E3"/>
    <w:rsid w:val="4B998D92"/>
    <w:rsid w:val="4BEBD591"/>
    <w:rsid w:val="4CEBA5E5"/>
    <w:rsid w:val="4D9685B4"/>
    <w:rsid w:val="4F05FD18"/>
    <w:rsid w:val="4F62ED74"/>
    <w:rsid w:val="4F62ED74"/>
    <w:rsid w:val="509557C6"/>
    <w:rsid w:val="5115D2F1"/>
    <w:rsid w:val="51A975D8"/>
    <w:rsid w:val="51C5DEEA"/>
    <w:rsid w:val="51FD9244"/>
    <w:rsid w:val="527CC003"/>
    <w:rsid w:val="536B1099"/>
    <w:rsid w:val="53ADA992"/>
    <w:rsid w:val="54189064"/>
    <w:rsid w:val="56721A95"/>
    <w:rsid w:val="56F83733"/>
    <w:rsid w:val="571F459F"/>
    <w:rsid w:val="5743E574"/>
    <w:rsid w:val="57DFF686"/>
    <w:rsid w:val="5998D7C4"/>
    <w:rsid w:val="59A29299"/>
    <w:rsid w:val="5A48D2B8"/>
    <w:rsid w:val="5A98B622"/>
    <w:rsid w:val="5B07090D"/>
    <w:rsid w:val="5B7FB602"/>
    <w:rsid w:val="5B987DC0"/>
    <w:rsid w:val="5BD00E43"/>
    <w:rsid w:val="5D239680"/>
    <w:rsid w:val="5DDA5F12"/>
    <w:rsid w:val="5E741374"/>
    <w:rsid w:val="5EA506A4"/>
    <w:rsid w:val="5F2DF202"/>
    <w:rsid w:val="604D2C1C"/>
    <w:rsid w:val="60DB6F75"/>
    <w:rsid w:val="6134E744"/>
    <w:rsid w:val="6148B2F8"/>
    <w:rsid w:val="6202ACD5"/>
    <w:rsid w:val="6272F9FB"/>
    <w:rsid w:val="62D184E8"/>
    <w:rsid w:val="64AB1F29"/>
    <w:rsid w:val="66EA6242"/>
    <w:rsid w:val="6708B582"/>
    <w:rsid w:val="6779799F"/>
    <w:rsid w:val="69596EFA"/>
    <w:rsid w:val="69CD5B52"/>
    <w:rsid w:val="69DCBFE7"/>
    <w:rsid w:val="6A6F1184"/>
    <w:rsid w:val="6C7F3B8E"/>
    <w:rsid w:val="6E7F4583"/>
    <w:rsid w:val="6EB927BE"/>
    <w:rsid w:val="700D023B"/>
    <w:rsid w:val="705C6F7B"/>
    <w:rsid w:val="7119CA92"/>
    <w:rsid w:val="71DD830C"/>
    <w:rsid w:val="7218D09F"/>
    <w:rsid w:val="723F425C"/>
    <w:rsid w:val="7321002F"/>
    <w:rsid w:val="73300E27"/>
    <w:rsid w:val="73B4A100"/>
    <w:rsid w:val="74A705A2"/>
    <w:rsid w:val="74A705A2"/>
    <w:rsid w:val="74EF8EFD"/>
    <w:rsid w:val="75E249FA"/>
    <w:rsid w:val="76230901"/>
    <w:rsid w:val="76DA3DD1"/>
    <w:rsid w:val="78151EC8"/>
    <w:rsid w:val="7A3D9B3B"/>
    <w:rsid w:val="7B562561"/>
    <w:rsid w:val="7B96A198"/>
    <w:rsid w:val="7CB3FD40"/>
    <w:rsid w:val="7CBCA213"/>
    <w:rsid w:val="7D2549CC"/>
    <w:rsid w:val="7E28B345"/>
    <w:rsid w:val="7E361DDC"/>
    <w:rsid w:val="7E66ED8F"/>
    <w:rsid w:val="7F7F467C"/>
    <w:rsid w:val="7FA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AF8F9-6163-415B-80AA-EEBBBB19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a73c6aaf153e4a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Наталія Андрійчук</lastModifiedBy>
  <revision>7</revision>
  <dcterms:created xsi:type="dcterms:W3CDTF">2023-11-28T15:37:00.0000000Z</dcterms:created>
  <dcterms:modified xsi:type="dcterms:W3CDTF">2024-01-03T14:01:51.9434091Z</dcterms:modified>
</coreProperties>
</file>