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22"/>
          <w:szCs w:val="22"/>
        </w:rPr>
      </w:pPr>
      <w:bookmarkStart w:colFirst="0" w:colLast="0" w:name="_6nrnrrwsr0lz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Technical Specification / Технічне завдання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Procurement of branded products / Закупівля брендованої продукції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supplier is expected to deliver high-quality branded printed and promotional materials according to the specifications below. All products must comply with branding guidelines (to be provided separately).</w:t>
        <w:br w:type="textWrapping"/>
        <w:t xml:space="preserve"> Очікується, що постачальник надасть якісні брендовані друковані та сувенірні матеріали згідно з наведеними технічними характеристиками. Уся продукція має відповідати брендбуку (надається окремо).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r4m5z0gicpd0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 Item list / Перелік позицій</w:t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.8561786919493"/>
        <w:gridCol w:w="5875.792383094971"/>
        <w:gridCol w:w="1275.544271251808"/>
        <w:gridCol w:w="1441.318977984895"/>
        <w:tblGridChange w:id="0">
          <w:tblGrid>
            <w:gridCol w:w="432.8561786919493"/>
            <w:gridCol w:w="5875.792383094971"/>
            <w:gridCol w:w="1275.544271251808"/>
            <w:gridCol w:w="1441.31897798489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Item Description / Опис позиції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Unit / Одиниця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Quantity / Кількість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Manual on the bracket, color A4, 36 pages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Посібник на кронштейні, кольоровий формат А4, 36 сторінок, внутрішні сторінки – папір 120 г/м², обкладинка – 300 г/м²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Shopper bag with printing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Сумка-шопер з друком, тканинна, з повноколірним логотипом, розмір не менше 35×40 см, ручки не менше 60 см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BLP workbook A4, 17 pages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Зошит BLP, формат А4, 17 сторінок, брошура на скріпках, внутрішній блок – 120 г/м², обкладинка – 180–200 г/м²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245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Certificate, A4, full-color, 300 g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Сертифікат, кольоровий друк, формат А4, щільний папір 300 г/м²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SLEC forms – project data collection materials (~20 pages)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Форми SLEC – матеріали для збору даних та результатів проєкту (орієнтовно 20 сторінок, ч/б або кольоровий друк)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Branded polo shirts with logos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Брендовані футболки-поло з логотипами, бавовняні або змішані, повний розмірний ряд (S–XXL), друк або вишивка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Branded badges with ribbons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Брендовані значки зі стрічками, діаметр не менше 55 мм, кольоровий друк логотипу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Commemorative plaques for partner schools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/ Таблички для шкіл-партнерів, A4–A3, пластик або метал, UV-друк, елементи кріплення включено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pcs / шт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4rllbpduhvg5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Additional Requirements / Додаткові вимоги: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supplier must provide samples on request before final production.</w:t>
        <w:br w:type="textWrapping"/>
        <w:t xml:space="preserve"> / Зразки мають бути надані за запитом до початку тиражного друку.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Print quality must meet modern standards, colors must match the original logos.</w:t>
        <w:br w:type="textWrapping"/>
        <w:t xml:space="preserve"> / Якість друку має відповідати сучасним стандартам, кольори – не спотворені.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i2s9wstsjb73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🔹 Delivery / Доставка: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Delivery address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/ Адреса доставки: Naberezhno-Rybalska St, 5 А, Kyiv, 04176</w:t>
        <w:br w:type="textWrapping"/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09.5603572174386"/>
        <w:gridCol w:w="4144.319775940645"/>
        <w:gridCol w:w="2271.63167786554"/>
        <w:tblGridChange w:id="0">
          <w:tblGrid>
            <w:gridCol w:w="2609.5603572174386"/>
            <w:gridCol w:w="4144.319775940645"/>
            <w:gridCol w:w="2271.6316778655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Критерій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1. Ціна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Пропозиція з найнижчою ціною отримує 50 балів. Інші оцінюються за формулою: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(Найнижча ціна / Ціна учасника) × 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2. Терміни виготовлення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До 10 календарних днів – 30 балів</w:t>
              <w:br w:type="textWrapping"/>
            </w:r>
          </w:p>
          <w:p w:rsidR="00000000" w:rsidDel="00000000" w:rsidP="00000000" w:rsidRDefault="00000000" w:rsidRPr="00000000" w14:paraId="0000003E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Від 11 до 14 календарних днів – 20 балів</w:t>
              <w:br w:type="textWrapping"/>
            </w:r>
          </w:p>
          <w:p w:rsidR="00000000" w:rsidDel="00000000" w:rsidP="00000000" w:rsidRDefault="00000000" w:rsidRPr="00000000" w14:paraId="0000003F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Від 15 до 20 календарних днів – 10 балів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3. Умови доставки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Безкоштовна доставка до адреси замовника – 20 балів</w:t>
              <w:br w:type="textWrapping"/>
            </w:r>
          </w:p>
          <w:p w:rsidR="00000000" w:rsidDel="00000000" w:rsidP="00000000" w:rsidRDefault="00000000" w:rsidRPr="00000000" w14:paraId="00000043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Доставка за додаткову оплату – 10 балів</w:t>
              <w:br w:type="textWrapping"/>
            </w:r>
          </w:p>
          <w:p w:rsidR="00000000" w:rsidDel="00000000" w:rsidP="00000000" w:rsidRDefault="00000000" w:rsidRPr="00000000" w14:paraId="00000044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Самовивіз – 0 балів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="240" w:lineRule="auto"/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5vteiul0sryp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✅ Максимальна кількість балів: 100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Пропозиція, яка набере найбільшу кількість балів за результатами оцінювання, вважатиметься найбільш економічно вигідною.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