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3F603D80" w:rsidR="00F246B8" w:rsidRPr="0038453F"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38453F" w:rsidRPr="0038453F">
        <w:rPr>
          <w:rFonts w:ascii="Times New Roman" w:hAnsi="Times New Roman" w:cs="Times New Roman"/>
        </w:rPr>
        <w:t>39130000-2 Офісні меблі</w:t>
      </w:r>
      <w:r w:rsidR="0038453F" w:rsidRPr="0034419D">
        <w:rPr>
          <w:rFonts w:ascii="Times New Roman" w:hAnsi="Times New Roman" w:cs="Times New Roman"/>
          <w:bCs/>
        </w:rPr>
        <w:t xml:space="preserve"> </w:t>
      </w:r>
      <w:r w:rsidR="0038453F">
        <w:rPr>
          <w:rFonts w:ascii="Times New Roman" w:hAnsi="Times New Roman" w:cs="Times New Roman"/>
          <w:bCs/>
          <w:lang w:val="uk-UA"/>
        </w:rPr>
        <w:t>(Меблі)</w:t>
      </w:r>
    </w:p>
    <w:p w14:paraId="25D404A9" w14:textId="398D1145" w:rsidR="0034419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38453F" w:rsidRPr="0038453F">
        <w:rPr>
          <w:rFonts w:ascii="Times New Roman" w:hAnsi="Times New Roman" w:cs="Times New Roman"/>
          <w:color w:val="000000" w:themeColor="text1"/>
          <w:shd w:val="clear" w:color="auto" w:fill="FFFFFF"/>
        </w:rPr>
        <w:t>UA-2025-08-01-009720-a</w:t>
      </w:r>
    </w:p>
    <w:p w14:paraId="0AA7A836" w14:textId="2612445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2B20B8F" w14:textId="77777777" w:rsidR="00BF0D48" w:rsidRPr="00BF0D48" w:rsidRDefault="00BF0D48" w:rsidP="003760DA">
      <w:pPr>
        <w:spacing w:after="0" w:line="360" w:lineRule="auto"/>
        <w:jc w:val="both"/>
        <w:rPr>
          <w:rFonts w:ascii="Times New Roman" w:hAnsi="Times New Roman" w:cs="Times New Roman"/>
          <w:lang w:val="uk-U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7"/>
        <w:gridCol w:w="4819"/>
        <w:gridCol w:w="709"/>
        <w:gridCol w:w="850"/>
      </w:tblGrid>
      <w:tr w:rsidR="0038453F" w:rsidRPr="0028692C" w14:paraId="1970F598" w14:textId="77777777" w:rsidTr="0038453F">
        <w:trPr>
          <w:trHeight w:val="57"/>
        </w:trPr>
        <w:tc>
          <w:tcPr>
            <w:tcW w:w="567" w:type="dxa"/>
          </w:tcPr>
          <w:p w14:paraId="2698BD7C" w14:textId="77777777" w:rsidR="0038453F" w:rsidRPr="0028692C" w:rsidRDefault="0038453F" w:rsidP="0025200C">
            <w:pPr>
              <w:ind w:right="-109"/>
              <w:rPr>
                <w:rFonts w:ascii="Arial Narrow" w:hAnsi="Arial Narrow"/>
                <w:bCs/>
                <w:color w:val="000000" w:themeColor="text1"/>
                <w:sz w:val="20"/>
                <w:szCs w:val="20"/>
                <w:lang w:eastAsia="ru-RU"/>
              </w:rPr>
            </w:pPr>
            <w:r w:rsidRPr="0028692C">
              <w:rPr>
                <w:rFonts w:ascii="Arial Narrow" w:hAnsi="Arial Narrow"/>
                <w:bCs/>
                <w:color w:val="000000" w:themeColor="text1"/>
                <w:sz w:val="20"/>
                <w:szCs w:val="20"/>
                <w:lang w:eastAsia="ru-RU"/>
              </w:rPr>
              <w:t>№</w:t>
            </w:r>
          </w:p>
        </w:tc>
        <w:tc>
          <w:tcPr>
            <w:tcW w:w="2127" w:type="dxa"/>
          </w:tcPr>
          <w:p w14:paraId="4CA9FEB6" w14:textId="77777777" w:rsidR="0038453F" w:rsidRPr="0028692C" w:rsidRDefault="0038453F" w:rsidP="0025200C">
            <w:pPr>
              <w:rPr>
                <w:rFonts w:ascii="Arial Narrow" w:eastAsia="Times New Roman" w:hAnsi="Arial Narrow"/>
                <w:bCs/>
                <w:color w:val="000000" w:themeColor="text1"/>
                <w:sz w:val="20"/>
                <w:szCs w:val="20"/>
                <w:lang w:eastAsia="ar-SA"/>
              </w:rPr>
            </w:pPr>
            <w:r w:rsidRPr="0028692C">
              <w:rPr>
                <w:rFonts w:ascii="Arial Narrow" w:eastAsia="Times New Roman" w:hAnsi="Arial Narrow"/>
                <w:bCs/>
                <w:color w:val="000000" w:themeColor="text1"/>
                <w:sz w:val="20"/>
                <w:szCs w:val="20"/>
                <w:lang w:eastAsia="ar-SA"/>
              </w:rPr>
              <w:t xml:space="preserve">Найменування товару </w:t>
            </w:r>
          </w:p>
        </w:tc>
        <w:tc>
          <w:tcPr>
            <w:tcW w:w="4819" w:type="dxa"/>
          </w:tcPr>
          <w:p w14:paraId="309D5C97" w14:textId="77777777" w:rsidR="0038453F" w:rsidRPr="0028692C" w:rsidRDefault="0038453F" w:rsidP="0025200C">
            <w:pPr>
              <w:rPr>
                <w:rFonts w:ascii="Arial Narrow" w:hAnsi="Arial Narrow"/>
                <w:bCs/>
                <w:color w:val="000000" w:themeColor="text1"/>
                <w:sz w:val="20"/>
                <w:szCs w:val="20"/>
                <w:lang w:eastAsia="ru-RU"/>
              </w:rPr>
            </w:pPr>
            <w:r w:rsidRPr="0028692C">
              <w:rPr>
                <w:rFonts w:ascii="Arial Narrow" w:eastAsia="Times New Roman" w:hAnsi="Arial Narrow"/>
                <w:bCs/>
                <w:color w:val="000000" w:themeColor="text1"/>
                <w:sz w:val="20"/>
                <w:szCs w:val="20"/>
                <w:lang w:eastAsia="ar-SA"/>
              </w:rPr>
              <w:t>Технічні характеристики, які вимагаються Замовником</w:t>
            </w:r>
          </w:p>
        </w:tc>
        <w:tc>
          <w:tcPr>
            <w:tcW w:w="709" w:type="dxa"/>
            <w:vAlign w:val="center"/>
          </w:tcPr>
          <w:p w14:paraId="3818C6E8" w14:textId="77777777" w:rsidR="0038453F" w:rsidRPr="0028692C" w:rsidRDefault="0038453F" w:rsidP="0025200C">
            <w:pPr>
              <w:rPr>
                <w:rFonts w:ascii="Arial Narrow" w:hAnsi="Arial Narrow"/>
                <w:bCs/>
                <w:color w:val="000000" w:themeColor="text1"/>
                <w:sz w:val="20"/>
                <w:szCs w:val="20"/>
                <w:lang w:eastAsia="ru-RU"/>
              </w:rPr>
            </w:pPr>
            <w:r w:rsidRPr="0028692C">
              <w:rPr>
                <w:rFonts w:ascii="Arial Narrow" w:hAnsi="Arial Narrow"/>
                <w:bCs/>
                <w:color w:val="000000" w:themeColor="text1"/>
                <w:sz w:val="20"/>
                <w:szCs w:val="20"/>
                <w:lang w:eastAsia="ru-RU"/>
              </w:rPr>
              <w:t xml:space="preserve">Од. виміру </w:t>
            </w:r>
          </w:p>
        </w:tc>
        <w:tc>
          <w:tcPr>
            <w:tcW w:w="850" w:type="dxa"/>
            <w:vAlign w:val="center"/>
          </w:tcPr>
          <w:p w14:paraId="2993780B" w14:textId="77777777" w:rsidR="0038453F" w:rsidRPr="0028692C" w:rsidRDefault="0038453F" w:rsidP="0025200C">
            <w:pPr>
              <w:rPr>
                <w:rFonts w:ascii="Arial Narrow" w:hAnsi="Arial Narrow"/>
                <w:bCs/>
                <w:color w:val="000000" w:themeColor="text1"/>
                <w:sz w:val="20"/>
                <w:szCs w:val="20"/>
                <w:lang w:eastAsia="ru-RU"/>
              </w:rPr>
            </w:pPr>
            <w:r w:rsidRPr="0028692C">
              <w:rPr>
                <w:rFonts w:ascii="Arial Narrow" w:hAnsi="Arial Narrow"/>
                <w:bCs/>
                <w:color w:val="000000" w:themeColor="text1"/>
                <w:sz w:val="20"/>
                <w:szCs w:val="20"/>
                <w:lang w:eastAsia="ru-RU"/>
              </w:rPr>
              <w:t>Кількість</w:t>
            </w:r>
          </w:p>
        </w:tc>
      </w:tr>
      <w:tr w:rsidR="0038453F" w:rsidRPr="0028692C" w14:paraId="03A1FD1B" w14:textId="77777777" w:rsidTr="0038453F">
        <w:trPr>
          <w:trHeight w:val="57"/>
        </w:trPr>
        <w:tc>
          <w:tcPr>
            <w:tcW w:w="567" w:type="dxa"/>
          </w:tcPr>
          <w:p w14:paraId="1D8A9985" w14:textId="77777777" w:rsidR="0038453F" w:rsidRPr="0028692C" w:rsidRDefault="0038453F" w:rsidP="0038453F">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2127" w:type="dxa"/>
            <w:vAlign w:val="center"/>
          </w:tcPr>
          <w:p w14:paraId="693039DD" w14:textId="77777777" w:rsidR="0038453F" w:rsidRPr="0028692C" w:rsidRDefault="0038453F" w:rsidP="0025200C">
            <w:pPr>
              <w:shd w:val="clear" w:color="auto" w:fill="FFFFFF"/>
              <w:ind w:right="60"/>
              <w:jc w:val="both"/>
              <w:textAlignment w:val="baseline"/>
              <w:rPr>
                <w:rFonts w:ascii="Arial Narrow" w:hAnsi="Arial Narrow"/>
                <w:b/>
                <w:bCs/>
                <w:color w:val="000000" w:themeColor="text1"/>
                <w:spacing w:val="3"/>
                <w:sz w:val="20"/>
                <w:szCs w:val="20"/>
                <w:bdr w:val="none" w:sz="0" w:space="0" w:color="auto" w:frame="1"/>
              </w:rPr>
            </w:pPr>
            <w:r w:rsidRPr="0028692C">
              <w:rPr>
                <w:rFonts w:ascii="Arial Narrow" w:hAnsi="Arial Narrow"/>
                <w:color w:val="000000"/>
                <w:sz w:val="20"/>
                <w:szCs w:val="20"/>
                <w:lang/>
              </w:rPr>
              <w:t>Стіл з тумбою та екраном</w:t>
            </w:r>
          </w:p>
        </w:tc>
        <w:tc>
          <w:tcPr>
            <w:tcW w:w="4819" w:type="dxa"/>
            <w:tcBorders>
              <w:top w:val="single" w:sz="4" w:space="0" w:color="auto"/>
              <w:left w:val="single" w:sz="4" w:space="0" w:color="auto"/>
              <w:bottom w:val="single" w:sz="4" w:space="0" w:color="auto"/>
              <w:right w:val="single" w:sz="4" w:space="0" w:color="auto"/>
            </w:tcBorders>
            <w:vAlign w:val="center"/>
          </w:tcPr>
          <w:p w14:paraId="7A28B61D"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Стіл з тумбою та екраном. Габаритний розмір 1600х1400х740мм.</w:t>
            </w:r>
          </w:p>
          <w:p w14:paraId="06DF66C8"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 xml:space="preserve">Стільниця ЛДСП Kronospan (або еквівалент) 0190 PE Чорний не менше 25мм., крайка ПВХ не менше 2мм. </w:t>
            </w:r>
          </w:p>
          <w:p w14:paraId="4376BE07"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 xml:space="preserve">Тумба на 2 канц. та одну файлову шухляди, замок у верхньому ящику, направляючі роликові метабокс. </w:t>
            </w:r>
          </w:p>
          <w:p w14:paraId="3D64F54D"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Тумба ЛДСП Kronospan (або еквівалент) 0190 PE Чорний не менше 18мм, крайка в тон.</w:t>
            </w:r>
          </w:p>
          <w:p w14:paraId="65234DE2"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Каркас стола металевий з порошковим фарбуванням в чорний колір, структура.</w:t>
            </w:r>
          </w:p>
          <w:p w14:paraId="166FB8D0"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Екран перфорований метал з порошковим фарбуванням в чорний колір, структура.</w:t>
            </w:r>
          </w:p>
          <w:p w14:paraId="5711B1A4" w14:textId="77777777" w:rsidR="0038453F" w:rsidRPr="0028692C" w:rsidRDefault="0038453F" w:rsidP="0025200C">
            <w:pPr>
              <w:ind w:right="-58"/>
              <w:rPr>
                <w:rFonts w:ascii="Arial Narrow" w:eastAsia="Times New Roman" w:hAnsi="Arial Narrow"/>
                <w:b/>
                <w:bCs/>
                <w:color w:val="000000" w:themeColor="text1"/>
                <w:sz w:val="18"/>
                <w:szCs w:val="18"/>
              </w:rPr>
            </w:pPr>
          </w:p>
          <w:p w14:paraId="5CD8D59D"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noProof/>
              </w:rPr>
              <w:drawing>
                <wp:inline distT="0" distB="0" distL="0" distR="0" wp14:anchorId="644BFE65" wp14:editId="526B5E07">
                  <wp:extent cx="1058866" cy="120015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stretch>
                            <a:fillRect/>
                          </a:stretch>
                        </pic:blipFill>
                        <pic:spPr>
                          <a:xfrm>
                            <a:off x="0" y="0"/>
                            <a:ext cx="1058866" cy="1200150"/>
                          </a:xfrm>
                          <a:prstGeom prst="rect">
                            <a:avLst/>
                          </a:prstGeom>
                        </pic:spPr>
                      </pic:pic>
                    </a:graphicData>
                  </a:graphic>
                </wp:inline>
              </w:drawing>
            </w:r>
          </w:p>
          <w:p w14:paraId="0587DD9A" w14:textId="77777777" w:rsidR="0038453F" w:rsidRPr="0028692C" w:rsidRDefault="0038453F" w:rsidP="0025200C">
            <w:pPr>
              <w:ind w:right="-58"/>
              <w:rPr>
                <w:rFonts w:ascii="Arial Narrow" w:eastAsia="Times New Roman" w:hAnsi="Arial Narrow"/>
                <w:b/>
                <w:bCs/>
                <w:color w:val="000000" w:themeColor="text1"/>
                <w:sz w:val="18"/>
                <w:szCs w:val="18"/>
              </w:rPr>
            </w:pPr>
          </w:p>
        </w:tc>
        <w:tc>
          <w:tcPr>
            <w:tcW w:w="709" w:type="dxa"/>
            <w:vAlign w:val="center"/>
          </w:tcPr>
          <w:p w14:paraId="4F73314B" w14:textId="77777777" w:rsidR="0038453F" w:rsidRPr="0028692C" w:rsidRDefault="0038453F" w:rsidP="0025200C">
            <w:pPr>
              <w:rPr>
                <w:rFonts w:ascii="Arial Narrow" w:hAnsi="Arial Narrow"/>
                <w:b/>
                <w:bCs/>
                <w:color w:val="000000" w:themeColor="text1"/>
                <w:sz w:val="20"/>
                <w:szCs w:val="20"/>
                <w:lang w:eastAsia="ru-RU"/>
              </w:rPr>
            </w:pPr>
            <w:r w:rsidRPr="0028692C">
              <w:rPr>
                <w:rFonts w:ascii="Arial Narrow" w:hAnsi="Arial Narrow" w:cs="Calibri"/>
                <w:bCs/>
                <w:color w:val="000000"/>
                <w:sz w:val="20"/>
                <w:szCs w:val="20"/>
                <w:lang/>
              </w:rPr>
              <w:t>шт.</w:t>
            </w:r>
          </w:p>
        </w:tc>
        <w:tc>
          <w:tcPr>
            <w:tcW w:w="850" w:type="dxa"/>
          </w:tcPr>
          <w:p w14:paraId="1136F000" w14:textId="77777777" w:rsidR="0038453F" w:rsidRPr="0028692C" w:rsidRDefault="0038453F" w:rsidP="0025200C">
            <w:pPr>
              <w:rPr>
                <w:rFonts w:ascii="Arial Narrow" w:hAnsi="Arial Narrow"/>
                <w:b/>
                <w:bCs/>
                <w:color w:val="000000" w:themeColor="text1"/>
                <w:sz w:val="20"/>
                <w:szCs w:val="20"/>
                <w:lang w:eastAsia="ru-RU"/>
              </w:rPr>
            </w:pPr>
            <w:r w:rsidRPr="0028692C">
              <w:rPr>
                <w:rFonts w:ascii="Arial Narrow" w:hAnsi="Arial Narrow"/>
                <w:color w:val="000000"/>
                <w:sz w:val="20"/>
                <w:szCs w:val="20"/>
                <w:lang/>
              </w:rPr>
              <w:t>1</w:t>
            </w:r>
          </w:p>
        </w:tc>
      </w:tr>
      <w:tr w:rsidR="0038453F" w:rsidRPr="0028692C" w14:paraId="2D10C1B6" w14:textId="77777777" w:rsidTr="0038453F">
        <w:trPr>
          <w:trHeight w:val="57"/>
        </w:trPr>
        <w:tc>
          <w:tcPr>
            <w:tcW w:w="567" w:type="dxa"/>
          </w:tcPr>
          <w:p w14:paraId="7877A4C2" w14:textId="77777777" w:rsidR="0038453F" w:rsidRPr="0028692C" w:rsidRDefault="0038453F" w:rsidP="0038453F">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2127" w:type="dxa"/>
          </w:tcPr>
          <w:p w14:paraId="20F8B046" w14:textId="77777777" w:rsidR="0038453F" w:rsidRPr="0028692C" w:rsidRDefault="0038453F" w:rsidP="0025200C">
            <w:pPr>
              <w:shd w:val="clear" w:color="auto" w:fill="FFFFFF"/>
              <w:ind w:right="60"/>
              <w:jc w:val="both"/>
              <w:textAlignment w:val="baseline"/>
              <w:rPr>
                <w:rFonts w:ascii="Arial Narrow" w:hAnsi="Arial Narrow"/>
                <w:b/>
                <w:bCs/>
                <w:color w:val="000000" w:themeColor="text1"/>
                <w:spacing w:val="3"/>
                <w:sz w:val="20"/>
                <w:szCs w:val="20"/>
                <w:bdr w:val="none" w:sz="0" w:space="0" w:color="auto" w:frame="1"/>
              </w:rPr>
            </w:pPr>
            <w:r w:rsidRPr="0028692C">
              <w:rPr>
                <w:rFonts w:ascii="Arial Narrow" w:hAnsi="Arial Narrow"/>
                <w:color w:val="000000"/>
                <w:sz w:val="20"/>
                <w:szCs w:val="20"/>
                <w:lang/>
              </w:rPr>
              <w:t>Стіл лінія</w:t>
            </w:r>
          </w:p>
        </w:tc>
        <w:tc>
          <w:tcPr>
            <w:tcW w:w="4819" w:type="dxa"/>
            <w:tcBorders>
              <w:top w:val="nil"/>
              <w:left w:val="single" w:sz="4" w:space="0" w:color="auto"/>
              <w:bottom w:val="single" w:sz="4" w:space="0" w:color="auto"/>
              <w:right w:val="single" w:sz="4" w:space="0" w:color="auto"/>
            </w:tcBorders>
            <w:vAlign w:val="center"/>
          </w:tcPr>
          <w:p w14:paraId="7F8F2267"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Стіл лінія "Семінар" 2 опори роликові і 2 стаціонарні, розміри 900х722х740мм</w:t>
            </w:r>
          </w:p>
          <w:p w14:paraId="3127B35E"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Стільниця ЛДСП Egger W980 St 2 (або еквівалент) не менше 25мм., крайка ПВХ неменше 2мм.</w:t>
            </w:r>
          </w:p>
          <w:p w14:paraId="5B18F0FE"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Опори алюмінієві з регулюванням висоти і стопором на роликових опорах.</w:t>
            </w:r>
          </w:p>
          <w:p w14:paraId="66E223ED"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Колір: білий.</w:t>
            </w:r>
          </w:p>
          <w:p w14:paraId="0C892B45" w14:textId="77777777" w:rsidR="0038453F" w:rsidRPr="0028692C" w:rsidRDefault="0038453F" w:rsidP="0025200C">
            <w:pPr>
              <w:ind w:right="-58"/>
              <w:rPr>
                <w:rFonts w:ascii="Arial Narrow" w:eastAsia="Times New Roman" w:hAnsi="Arial Narrow"/>
                <w:b/>
                <w:bCs/>
                <w:color w:val="000000" w:themeColor="text1"/>
                <w:sz w:val="18"/>
                <w:szCs w:val="18"/>
              </w:rPr>
            </w:pPr>
          </w:p>
          <w:p w14:paraId="054DA653"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noProof/>
              </w:rPr>
              <w:drawing>
                <wp:inline distT="0" distB="0" distL="0" distR="0" wp14:anchorId="7C031D9D" wp14:editId="1E93FF88">
                  <wp:extent cx="859752" cy="809625"/>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stretch>
                            <a:fillRect/>
                          </a:stretch>
                        </pic:blipFill>
                        <pic:spPr>
                          <a:xfrm>
                            <a:off x="0" y="0"/>
                            <a:ext cx="859752" cy="809625"/>
                          </a:xfrm>
                          <a:prstGeom prst="rect">
                            <a:avLst/>
                          </a:prstGeom>
                        </pic:spPr>
                      </pic:pic>
                    </a:graphicData>
                  </a:graphic>
                </wp:inline>
              </w:drawing>
            </w:r>
          </w:p>
          <w:p w14:paraId="0EF270BB" w14:textId="77777777" w:rsidR="0038453F" w:rsidRPr="0028692C" w:rsidRDefault="0038453F" w:rsidP="0025200C">
            <w:pPr>
              <w:ind w:right="-58"/>
              <w:rPr>
                <w:rFonts w:ascii="Arial Narrow" w:eastAsia="Times New Roman" w:hAnsi="Arial Narrow"/>
                <w:b/>
                <w:bCs/>
                <w:color w:val="000000" w:themeColor="text1"/>
                <w:sz w:val="18"/>
                <w:szCs w:val="18"/>
              </w:rPr>
            </w:pPr>
          </w:p>
        </w:tc>
        <w:tc>
          <w:tcPr>
            <w:tcW w:w="709" w:type="dxa"/>
            <w:vAlign w:val="center"/>
          </w:tcPr>
          <w:p w14:paraId="50E5AA98" w14:textId="77777777" w:rsidR="0038453F" w:rsidRPr="0028692C" w:rsidRDefault="0038453F" w:rsidP="0025200C">
            <w:pPr>
              <w:rPr>
                <w:rFonts w:ascii="Arial Narrow" w:hAnsi="Arial Narrow"/>
                <w:b/>
                <w:bCs/>
                <w:color w:val="000000" w:themeColor="text1"/>
                <w:sz w:val="20"/>
                <w:szCs w:val="20"/>
                <w:lang w:eastAsia="ru-RU"/>
              </w:rPr>
            </w:pPr>
            <w:r w:rsidRPr="0028692C">
              <w:rPr>
                <w:rFonts w:ascii="Arial Narrow" w:hAnsi="Arial Narrow" w:cs="Calibri"/>
                <w:bCs/>
                <w:color w:val="000000"/>
                <w:sz w:val="20"/>
                <w:szCs w:val="20"/>
                <w:lang/>
              </w:rPr>
              <w:t>шт.</w:t>
            </w:r>
          </w:p>
        </w:tc>
        <w:tc>
          <w:tcPr>
            <w:tcW w:w="850" w:type="dxa"/>
          </w:tcPr>
          <w:p w14:paraId="15CE7950" w14:textId="77777777" w:rsidR="0038453F" w:rsidRPr="0028692C" w:rsidRDefault="0038453F" w:rsidP="0025200C">
            <w:pPr>
              <w:rPr>
                <w:rFonts w:ascii="Arial Narrow" w:hAnsi="Arial Narrow"/>
                <w:b/>
                <w:bCs/>
                <w:color w:val="000000" w:themeColor="text1"/>
                <w:sz w:val="20"/>
                <w:szCs w:val="20"/>
                <w:lang w:eastAsia="ru-RU"/>
              </w:rPr>
            </w:pPr>
            <w:r w:rsidRPr="0028692C">
              <w:rPr>
                <w:rFonts w:ascii="Arial Narrow" w:hAnsi="Arial Narrow"/>
                <w:color w:val="000000"/>
                <w:sz w:val="20"/>
                <w:szCs w:val="20"/>
                <w:lang/>
              </w:rPr>
              <w:t>15</w:t>
            </w:r>
          </w:p>
        </w:tc>
      </w:tr>
      <w:tr w:rsidR="0038453F" w:rsidRPr="0028692C" w14:paraId="28C68E40" w14:textId="77777777" w:rsidTr="0038453F">
        <w:trPr>
          <w:trHeight w:val="57"/>
        </w:trPr>
        <w:tc>
          <w:tcPr>
            <w:tcW w:w="567" w:type="dxa"/>
          </w:tcPr>
          <w:p w14:paraId="76E4402D" w14:textId="77777777" w:rsidR="0038453F" w:rsidRPr="0028692C" w:rsidRDefault="0038453F" w:rsidP="0038453F">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2127" w:type="dxa"/>
          </w:tcPr>
          <w:p w14:paraId="2D7EEF1E" w14:textId="77777777" w:rsidR="0038453F" w:rsidRPr="0028692C" w:rsidRDefault="0038453F" w:rsidP="0025200C">
            <w:pPr>
              <w:shd w:val="clear" w:color="auto" w:fill="FFFFFF"/>
              <w:ind w:right="60"/>
              <w:jc w:val="both"/>
              <w:textAlignment w:val="baseline"/>
              <w:rPr>
                <w:rFonts w:ascii="Arial Narrow" w:hAnsi="Arial Narrow"/>
                <w:b/>
                <w:bCs/>
                <w:color w:val="000000" w:themeColor="text1"/>
                <w:spacing w:val="3"/>
                <w:sz w:val="20"/>
                <w:szCs w:val="20"/>
                <w:bdr w:val="none" w:sz="0" w:space="0" w:color="auto" w:frame="1"/>
              </w:rPr>
            </w:pPr>
            <w:r w:rsidRPr="0028692C">
              <w:rPr>
                <w:rFonts w:ascii="Arial Narrow" w:hAnsi="Arial Narrow"/>
                <w:color w:val="000000"/>
                <w:sz w:val="20"/>
                <w:szCs w:val="20"/>
                <w:lang/>
              </w:rPr>
              <w:t>Д</w:t>
            </w:r>
            <w:r w:rsidRPr="0028692C">
              <w:rPr>
                <w:rFonts w:ascii="Arial Narrow" w:hAnsi="Arial Narrow"/>
                <w:color w:val="000000"/>
                <w:sz w:val="20"/>
                <w:szCs w:val="20"/>
                <w:lang/>
              </w:rPr>
              <w:t>ерев'яна лавка без спинки</w:t>
            </w:r>
          </w:p>
        </w:tc>
        <w:tc>
          <w:tcPr>
            <w:tcW w:w="4819" w:type="dxa"/>
            <w:tcBorders>
              <w:top w:val="nil"/>
              <w:left w:val="single" w:sz="4" w:space="0" w:color="auto"/>
              <w:bottom w:val="single" w:sz="4" w:space="0" w:color="auto"/>
              <w:right w:val="single" w:sz="4" w:space="0" w:color="auto"/>
            </w:tcBorders>
            <w:vAlign w:val="center"/>
          </w:tcPr>
          <w:p w14:paraId="79A8139B"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Широка дерев'яна лавка без спинки</w:t>
            </w:r>
          </w:p>
          <w:p w14:paraId="40052CFA"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2000х600х450мм</w:t>
            </w:r>
          </w:p>
          <w:p w14:paraId="219B3C7A"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 xml:space="preserve">Масив бука не менше 40мм. </w:t>
            </w:r>
          </w:p>
          <w:p w14:paraId="5B6BDD00"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rFonts w:ascii="Arial Narrow" w:eastAsia="Times New Roman" w:hAnsi="Arial Narrow"/>
                <w:bCs/>
                <w:color w:val="000000" w:themeColor="text1"/>
                <w:sz w:val="18"/>
                <w:szCs w:val="18"/>
              </w:rPr>
              <w:t>Покриття лак полумат.</w:t>
            </w:r>
          </w:p>
          <w:p w14:paraId="540A2A2E" w14:textId="77777777" w:rsidR="0038453F" w:rsidRPr="0028692C" w:rsidRDefault="0038453F" w:rsidP="0025200C">
            <w:pPr>
              <w:ind w:right="-58"/>
              <w:rPr>
                <w:rFonts w:ascii="Arial Narrow" w:eastAsia="Times New Roman" w:hAnsi="Arial Narrow"/>
                <w:b/>
                <w:bCs/>
                <w:color w:val="000000" w:themeColor="text1"/>
                <w:sz w:val="18"/>
                <w:szCs w:val="18"/>
              </w:rPr>
            </w:pPr>
          </w:p>
          <w:p w14:paraId="2501171B" w14:textId="77777777" w:rsidR="0038453F" w:rsidRPr="0028692C" w:rsidRDefault="0038453F" w:rsidP="0025200C">
            <w:pPr>
              <w:ind w:right="-58"/>
              <w:rPr>
                <w:rFonts w:ascii="Arial Narrow" w:eastAsia="Times New Roman" w:hAnsi="Arial Narrow"/>
                <w:b/>
                <w:bCs/>
                <w:color w:val="000000" w:themeColor="text1"/>
                <w:sz w:val="18"/>
                <w:szCs w:val="18"/>
              </w:rPr>
            </w:pPr>
            <w:r w:rsidRPr="0028692C">
              <w:rPr>
                <w:noProof/>
              </w:rPr>
              <w:drawing>
                <wp:inline distT="0" distB="0" distL="0" distR="0" wp14:anchorId="2EBEC2AC" wp14:editId="673F1826">
                  <wp:extent cx="943821" cy="318897"/>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943821" cy="318897"/>
                          </a:xfrm>
                          <a:prstGeom prst="rect">
                            <a:avLst/>
                          </a:prstGeom>
                        </pic:spPr>
                      </pic:pic>
                    </a:graphicData>
                  </a:graphic>
                </wp:inline>
              </w:drawing>
            </w:r>
          </w:p>
          <w:p w14:paraId="35E02BF8" w14:textId="77777777" w:rsidR="0038453F" w:rsidRPr="0028692C" w:rsidRDefault="0038453F" w:rsidP="0025200C">
            <w:pPr>
              <w:ind w:right="-58"/>
              <w:rPr>
                <w:rFonts w:ascii="Arial Narrow" w:eastAsia="Times New Roman" w:hAnsi="Arial Narrow"/>
                <w:b/>
                <w:bCs/>
                <w:color w:val="000000" w:themeColor="text1"/>
                <w:sz w:val="18"/>
                <w:szCs w:val="18"/>
              </w:rPr>
            </w:pPr>
          </w:p>
        </w:tc>
        <w:tc>
          <w:tcPr>
            <w:tcW w:w="709" w:type="dxa"/>
            <w:vAlign w:val="center"/>
          </w:tcPr>
          <w:p w14:paraId="4891B363" w14:textId="77777777" w:rsidR="0038453F" w:rsidRPr="0028692C" w:rsidRDefault="0038453F" w:rsidP="0025200C">
            <w:pPr>
              <w:rPr>
                <w:rFonts w:ascii="Arial Narrow" w:hAnsi="Arial Narrow"/>
                <w:b/>
                <w:bCs/>
                <w:color w:val="000000" w:themeColor="text1"/>
                <w:sz w:val="20"/>
                <w:szCs w:val="20"/>
                <w:lang w:eastAsia="ru-RU"/>
              </w:rPr>
            </w:pPr>
            <w:r w:rsidRPr="0028692C">
              <w:rPr>
                <w:rFonts w:ascii="Arial Narrow" w:hAnsi="Arial Narrow" w:cs="Calibri"/>
                <w:bCs/>
                <w:color w:val="000000"/>
                <w:sz w:val="20"/>
                <w:szCs w:val="20"/>
                <w:lang/>
              </w:rPr>
              <w:t>шт.</w:t>
            </w:r>
          </w:p>
        </w:tc>
        <w:tc>
          <w:tcPr>
            <w:tcW w:w="850" w:type="dxa"/>
          </w:tcPr>
          <w:p w14:paraId="189BB6F5" w14:textId="77777777" w:rsidR="0038453F" w:rsidRPr="0028692C" w:rsidRDefault="0038453F" w:rsidP="0025200C">
            <w:pPr>
              <w:rPr>
                <w:rFonts w:ascii="Arial Narrow" w:hAnsi="Arial Narrow"/>
                <w:b/>
                <w:bCs/>
                <w:color w:val="000000" w:themeColor="text1"/>
                <w:sz w:val="20"/>
                <w:szCs w:val="20"/>
                <w:lang w:eastAsia="ru-RU"/>
              </w:rPr>
            </w:pPr>
            <w:r w:rsidRPr="0028692C">
              <w:rPr>
                <w:rFonts w:ascii="Arial Narrow" w:hAnsi="Arial Narrow"/>
                <w:color w:val="000000"/>
                <w:sz w:val="20"/>
                <w:szCs w:val="20"/>
                <w:lang/>
              </w:rPr>
              <w:t>1</w:t>
            </w:r>
          </w:p>
        </w:tc>
      </w:tr>
    </w:tbl>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107206F8"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38453F">
        <w:rPr>
          <w:rFonts w:ascii="Times New Roman" w:hAnsi="Times New Roman" w:cs="Times New Roman"/>
          <w:lang w:val="uk-UA"/>
        </w:rPr>
        <w:t>190490,00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1B53233D"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38453F">
        <w:rPr>
          <w:rFonts w:ascii="Times New Roman" w:hAnsi="Times New Roman" w:cs="Times New Roman"/>
          <w:lang w:val="uk-UA"/>
        </w:rPr>
        <w:t xml:space="preserve">190490,00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25017386"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38453F">
        <w:rPr>
          <w:rFonts w:ascii="Times New Roman" w:hAnsi="Times New Roman" w:cs="Times New Roman"/>
          <w:lang w:val="uk-UA"/>
        </w:rPr>
        <w:t xml:space="preserve">190490,00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6180F"/>
    <w:rsid w:val="0029356E"/>
    <w:rsid w:val="002C0FE6"/>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83521"/>
    <w:rsid w:val="00EB6CED"/>
    <w:rsid w:val="00EE1C45"/>
    <w:rsid w:val="00F14226"/>
    <w:rsid w:val="00F246B8"/>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2</Pages>
  <Words>1833</Words>
  <Characters>1045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34</cp:revision>
  <dcterms:created xsi:type="dcterms:W3CDTF">2021-03-22T13:41:00Z</dcterms:created>
  <dcterms:modified xsi:type="dcterms:W3CDTF">2025-09-09T12:25:00Z</dcterms:modified>
</cp:coreProperties>
</file>