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B2" w:rsidRDefault="009414B2"/>
    <w:p w:rsidR="009414B2" w:rsidRDefault="009414B2">
      <w:r>
        <w:rPr>
          <w:rFonts w:ascii="Arial" w:hAnsi="Arial" w:cs="Arial"/>
          <w:b/>
          <w:bCs/>
          <w:color w:val="000000"/>
          <w:sz w:val="60"/>
          <w:szCs w:val="60"/>
          <w:shd w:val="clear" w:color="auto" w:fill="F1F4F8"/>
        </w:rPr>
        <w:t>Умови програми кредитування</w:t>
      </w:r>
    </w:p>
    <w:tbl>
      <w:tblPr>
        <w:tblW w:w="0" w:type="auto"/>
        <w:shd w:val="clear" w:color="auto" w:fill="FFFFFF"/>
        <w:tblCellMar>
          <w:left w:w="510" w:type="dxa"/>
          <w:right w:w="510" w:type="dxa"/>
        </w:tblCellMar>
        <w:tblLook w:val="04A0" w:firstRow="1" w:lastRow="0" w:firstColumn="1" w:lastColumn="0" w:noHBand="0" w:noVBand="1"/>
      </w:tblPr>
      <w:tblGrid>
        <w:gridCol w:w="3857"/>
        <w:gridCol w:w="1981"/>
        <w:gridCol w:w="1921"/>
        <w:gridCol w:w="1880"/>
      </w:tblGrid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Термін кредиту</w:t>
            </w:r>
          </w:p>
        </w:tc>
        <w:tc>
          <w:tcPr>
            <w:tcW w:w="1981" w:type="dxa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13 міс</w:t>
            </w:r>
          </w:p>
        </w:tc>
        <w:tc>
          <w:tcPr>
            <w:tcW w:w="1921" w:type="dxa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25 міс</w:t>
            </w:r>
          </w:p>
        </w:tc>
        <w:tc>
          <w:tcPr>
            <w:tcW w:w="1880" w:type="dxa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37 міс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Розмір кредиту, гривень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від 10 000 до 100 000 грн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Комісія за надання кредиту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10%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Процентна ставка, річних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61,75%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Нарахування процентів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Проценти нараховуються на фактичний залишок заборгованості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Додаткові витрати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100" w:afterAutospacing="1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Додаткові та супутні послуги, які підлягають сплаті на користь Банку згідно з умовами цього Договору, а саме:</w:t>
            </w:r>
          </w:p>
          <w:p w:rsidR="009414B2" w:rsidRPr="009414B2" w:rsidRDefault="009414B2" w:rsidP="009414B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відкриття/закриття поточного рахунку;</w:t>
            </w:r>
          </w:p>
          <w:p w:rsidR="009414B2" w:rsidRPr="009414B2" w:rsidRDefault="009414B2" w:rsidP="009414B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переказ з поточного рахунку суми кредитних коштів;</w:t>
            </w:r>
          </w:p>
          <w:p w:rsidR="009414B2" w:rsidRPr="009414B2" w:rsidRDefault="009414B2" w:rsidP="009414B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інші послуги, які надаються Позичальнику та визначені Тарифами банку.</w:t>
            </w:r>
          </w:p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Розмір та порядок сплати комісійної винагороди Банку/ супровідні послуги, які підлягають сплаті на користь Банку, визначаються згідно з чинними Тарифами за послуги АТ «ЮНЕКС БАНК»</w:t>
            </w:r>
          </w:p>
        </w:tc>
        <w:bookmarkStart w:id="0" w:name="_GoBack"/>
        <w:bookmarkEnd w:id="0"/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Реальна процентна ставка, % річних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Від 98,90% до 119,15% (в залежності від строку, суми, додаткових та супутніх послуг)</w:t>
            </w:r>
          </w:p>
        </w:tc>
      </w:tr>
      <w:tr w:rsidR="009414B2" w:rsidRPr="009414B2" w:rsidTr="009414B2">
        <w:tc>
          <w:tcPr>
            <w:tcW w:w="3857" w:type="dxa"/>
            <w:shd w:val="clear" w:color="auto" w:fill="FFFFFF"/>
            <w:tcMar>
              <w:top w:w="300" w:type="dxa"/>
              <w:left w:w="0" w:type="dxa"/>
              <w:bottom w:w="300" w:type="dxa"/>
              <w:right w:w="525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767A8B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b/>
                <w:bCs/>
                <w:color w:val="767A8B"/>
                <w:sz w:val="21"/>
                <w:szCs w:val="21"/>
                <w:lang w:eastAsia="uk-UA"/>
              </w:rPr>
              <w:t>Додаткові умови</w:t>
            </w:r>
          </w:p>
        </w:tc>
        <w:tc>
          <w:tcPr>
            <w:tcW w:w="5782" w:type="dxa"/>
            <w:gridSpan w:val="3"/>
            <w:shd w:val="clear" w:color="auto" w:fill="FFFFFF"/>
            <w:tcMar>
              <w:top w:w="300" w:type="dxa"/>
              <w:left w:w="0" w:type="dxa"/>
              <w:bottom w:w="300" w:type="dxa"/>
              <w:right w:w="300" w:type="dxa"/>
            </w:tcMar>
            <w:vAlign w:val="center"/>
            <w:hideMark/>
          </w:tcPr>
          <w:p w:rsidR="009414B2" w:rsidRPr="009414B2" w:rsidRDefault="009414B2" w:rsidP="009414B2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</w:pPr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 xml:space="preserve">Для оформлення кредиту готівкою на суму до 50 000 грн довідка про доходи не </w:t>
            </w:r>
            <w:proofErr w:type="spellStart"/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вимагаєтсья</w:t>
            </w:r>
            <w:proofErr w:type="spellEnd"/>
            <w:r w:rsidRPr="009414B2">
              <w:rPr>
                <w:rFonts w:ascii="Arial" w:eastAsia="Times New Roman" w:hAnsi="Arial" w:cs="Arial"/>
                <w:color w:val="232323"/>
                <w:sz w:val="21"/>
                <w:szCs w:val="21"/>
                <w:lang w:eastAsia="uk-UA"/>
              </w:rPr>
              <w:t>. Для отримання більшої суми необхідно надати документ, що підтверджує доходи позичальника</w:t>
            </w:r>
          </w:p>
        </w:tc>
      </w:tr>
    </w:tbl>
    <w:p w:rsidR="00774E54" w:rsidRDefault="00774E54"/>
    <w:sectPr w:rsidR="00774E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B03FD"/>
    <w:multiLevelType w:val="multilevel"/>
    <w:tmpl w:val="64F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B2"/>
    <w:rsid w:val="00774E54"/>
    <w:rsid w:val="009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B6C5"/>
  <w15:chartTrackingRefBased/>
  <w15:docId w15:val="{984BB8E2-4969-4E98-9C45-1BA2882C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1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Herchikova Olena</dc:creator>
  <cp:keywords/>
  <dc:description/>
  <cp:lastModifiedBy>Herchikova Olena</cp:lastModifiedBy>
  <cp:revision>1</cp:revision>
  <dcterms:created xsi:type="dcterms:W3CDTF">2025-01-07T13:36:00Z</dcterms:created>
  <dcterms:modified xsi:type="dcterms:W3CDTF">2025-01-07T13:38:00Z</dcterms:modified>
</cp:coreProperties>
</file>