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B493" w14:textId="77777777" w:rsidR="00420749" w:rsidRPr="00C60765" w:rsidRDefault="00420749" w:rsidP="00420749">
      <w:pPr>
        <w:spacing w:after="0" w:line="240" w:lineRule="auto"/>
        <w:ind w:firstLine="709"/>
        <w:jc w:val="right"/>
        <w:outlineLvl w:val="1"/>
        <w:rPr>
          <w:rFonts w:ascii="Times New Roman" w:eastAsia="Times New Roman" w:hAnsi="Times New Roman" w:cs="Times New Roman"/>
          <w:b/>
          <w:bCs/>
          <w:kern w:val="0"/>
          <w:lang w:eastAsia="de-DE"/>
          <w14:ligatures w14:val="none"/>
        </w:rPr>
      </w:pPr>
      <w:r w:rsidRPr="00C60765">
        <w:rPr>
          <w:rFonts w:ascii="Times New Roman" w:eastAsia="Times New Roman" w:hAnsi="Times New Roman" w:cs="Times New Roman"/>
          <w:b/>
          <w:bCs/>
          <w:kern w:val="0"/>
          <w:lang w:eastAsia="de-DE"/>
          <w14:ligatures w14:val="none"/>
        </w:rPr>
        <w:t>ЗАТВЕРДЖЕНО</w:t>
      </w:r>
    </w:p>
    <w:p w14:paraId="7C4266E1" w14:textId="77777777" w:rsidR="00420749" w:rsidRDefault="00420749" w:rsidP="00420749">
      <w:pPr>
        <w:spacing w:after="0" w:line="240" w:lineRule="auto"/>
        <w:ind w:firstLine="709"/>
        <w:jc w:val="right"/>
        <w:rPr>
          <w:rFonts w:ascii="Times New Roman" w:eastAsia="Times New Roman" w:hAnsi="Times New Roman" w:cs="Times New Roman"/>
          <w:b/>
          <w:bCs/>
          <w:kern w:val="0"/>
          <w:lang w:val="uk-UA" w:eastAsia="de-DE"/>
          <w14:ligatures w14:val="none"/>
        </w:rPr>
      </w:pPr>
      <w:r w:rsidRPr="00C60765">
        <w:rPr>
          <w:rFonts w:ascii="Times New Roman" w:eastAsia="Times New Roman" w:hAnsi="Times New Roman" w:cs="Times New Roman"/>
          <w:kern w:val="0"/>
          <w:lang w:eastAsia="de-DE"/>
          <w14:ligatures w14:val="none"/>
        </w:rPr>
        <w:t>Наказом директорки</w:t>
      </w:r>
      <w:r w:rsidRPr="00C60765">
        <w:rPr>
          <w:rFonts w:ascii="Times New Roman" w:eastAsia="Times New Roman" w:hAnsi="Times New Roman" w:cs="Times New Roman"/>
          <w:kern w:val="0"/>
          <w:lang w:eastAsia="de-DE"/>
          <w14:ligatures w14:val="none"/>
        </w:rPr>
        <w:br/>
      </w:r>
      <w:r w:rsidRPr="00C60765">
        <w:rPr>
          <w:rFonts w:ascii="Times New Roman" w:eastAsia="Times New Roman" w:hAnsi="Times New Roman" w:cs="Times New Roman"/>
          <w:b/>
          <w:bCs/>
          <w:kern w:val="0"/>
          <w:lang w:eastAsia="de-DE"/>
          <w14:ligatures w14:val="none"/>
        </w:rPr>
        <w:t>ТОВАРИСТВА З ОБМЕЖЕНОЮ ВІДПОВІДАЛЬНІСТЮ</w:t>
      </w:r>
    </w:p>
    <w:p w14:paraId="1A71D321" w14:textId="14EB5C06" w:rsidR="00420749" w:rsidRPr="00C60765" w:rsidRDefault="00420749" w:rsidP="00420749">
      <w:pPr>
        <w:spacing w:after="0" w:line="240" w:lineRule="auto"/>
        <w:ind w:firstLine="709"/>
        <w:jc w:val="right"/>
        <w:rPr>
          <w:rFonts w:ascii="Times New Roman" w:eastAsia="Times New Roman" w:hAnsi="Times New Roman" w:cs="Times New Roman"/>
          <w:kern w:val="0"/>
          <w:lang w:val="uk-UA" w:eastAsia="de-DE"/>
          <w14:ligatures w14:val="none"/>
        </w:rPr>
      </w:pPr>
      <w:r w:rsidRPr="00C60765">
        <w:rPr>
          <w:rFonts w:ascii="Times New Roman" w:eastAsia="Times New Roman" w:hAnsi="Times New Roman" w:cs="Times New Roman"/>
          <w:b/>
          <w:bCs/>
          <w:kern w:val="0"/>
          <w:lang w:eastAsia="de-DE"/>
          <w14:ligatures w14:val="none"/>
        </w:rPr>
        <w:t>«ІНСТИТУТ ПІДВИЩЕННЯ КВАЛІФІКАЦІЇ ПСИХОЛОГІВ «ПЕРСПЕКТИВА»»</w:t>
      </w:r>
      <w:r w:rsidRPr="00C60765">
        <w:rPr>
          <w:rFonts w:ascii="Times New Roman" w:eastAsia="Times New Roman" w:hAnsi="Times New Roman" w:cs="Times New Roman"/>
          <w:kern w:val="0"/>
          <w:lang w:eastAsia="de-DE"/>
          <w14:ligatures w14:val="none"/>
        </w:rPr>
        <w:br/>
        <w:t>від «</w:t>
      </w:r>
      <w:r>
        <w:rPr>
          <w:rFonts w:ascii="Times New Roman" w:eastAsia="Times New Roman" w:hAnsi="Times New Roman" w:cs="Times New Roman"/>
          <w:kern w:val="0"/>
          <w:lang w:val="uk-UA" w:eastAsia="de-DE"/>
          <w14:ligatures w14:val="none"/>
        </w:rPr>
        <w:t>13</w:t>
      </w:r>
      <w:r w:rsidRPr="00C60765">
        <w:rPr>
          <w:rFonts w:ascii="Times New Roman" w:eastAsia="Times New Roman" w:hAnsi="Times New Roman" w:cs="Times New Roman"/>
          <w:kern w:val="0"/>
          <w:lang w:eastAsia="de-DE"/>
          <w14:ligatures w14:val="none"/>
        </w:rPr>
        <w:t xml:space="preserve">» </w:t>
      </w:r>
      <w:r>
        <w:rPr>
          <w:rFonts w:ascii="Times New Roman" w:eastAsia="Times New Roman" w:hAnsi="Times New Roman" w:cs="Times New Roman"/>
          <w:kern w:val="0"/>
          <w:lang w:val="uk-UA" w:eastAsia="de-DE"/>
          <w14:ligatures w14:val="none"/>
        </w:rPr>
        <w:t>липня</w:t>
      </w:r>
      <w:r w:rsidRPr="00C60765">
        <w:rPr>
          <w:rFonts w:ascii="Times New Roman" w:eastAsia="Times New Roman" w:hAnsi="Times New Roman" w:cs="Times New Roman"/>
          <w:kern w:val="0"/>
          <w:lang w:eastAsia="de-DE"/>
          <w14:ligatures w14:val="none"/>
        </w:rPr>
        <w:t xml:space="preserve"> 2026 року № </w:t>
      </w:r>
      <w:r>
        <w:rPr>
          <w:rFonts w:ascii="Times New Roman" w:eastAsia="Times New Roman" w:hAnsi="Times New Roman" w:cs="Times New Roman"/>
          <w:kern w:val="0"/>
          <w:lang w:val="uk-UA" w:eastAsia="de-DE"/>
          <w14:ligatures w14:val="none"/>
        </w:rPr>
        <w:t>3</w:t>
      </w:r>
    </w:p>
    <w:p w14:paraId="4E957C1D" w14:textId="77777777" w:rsidR="00420749" w:rsidRDefault="00420749" w:rsidP="00420749">
      <w:pPr>
        <w:spacing w:after="0" w:line="240" w:lineRule="auto"/>
        <w:ind w:firstLine="709"/>
        <w:jc w:val="center"/>
        <w:rPr>
          <w:rFonts w:ascii="Times New Roman" w:hAnsi="Times New Roman" w:cs="Times New Roman"/>
          <w:b/>
          <w:bCs/>
          <w:lang w:val="uk-UA"/>
        </w:rPr>
      </w:pPr>
    </w:p>
    <w:p w14:paraId="11F2D793" w14:textId="77777777" w:rsidR="00420749" w:rsidRDefault="00420749" w:rsidP="00420749">
      <w:pPr>
        <w:spacing w:after="0" w:line="240" w:lineRule="auto"/>
        <w:ind w:firstLine="709"/>
        <w:jc w:val="center"/>
        <w:rPr>
          <w:rFonts w:ascii="Times New Roman" w:hAnsi="Times New Roman" w:cs="Times New Roman"/>
          <w:b/>
          <w:bCs/>
          <w:lang w:val="uk-UA"/>
        </w:rPr>
      </w:pPr>
    </w:p>
    <w:p w14:paraId="62D109D3" w14:textId="38FFF637" w:rsidR="0058052E" w:rsidRPr="00420749" w:rsidRDefault="0058052E" w:rsidP="00420749">
      <w:pPr>
        <w:spacing w:after="0" w:line="240" w:lineRule="auto"/>
        <w:ind w:firstLine="709"/>
        <w:jc w:val="center"/>
        <w:rPr>
          <w:rFonts w:ascii="Times New Roman" w:hAnsi="Times New Roman" w:cs="Times New Roman"/>
          <w:b/>
          <w:bCs/>
        </w:rPr>
      </w:pPr>
      <w:r w:rsidRPr="00420749">
        <w:rPr>
          <w:rFonts w:ascii="Times New Roman" w:hAnsi="Times New Roman" w:cs="Times New Roman"/>
          <w:b/>
          <w:bCs/>
        </w:rPr>
        <w:t>ПРАВИЛА ПРОВЕДЕННЯ ЕЛЕКТРОННИХ НАВЧАЛЬНИХ КУРСІВ БЕЗПЕРЕРВНОГО ПРОФЕСІЙНОГО РОЗВИТКУ ПРАЦІВНИКІВ СФЕРИ ОХОРОНИ ЗДОРОВ’Я</w:t>
      </w:r>
    </w:p>
    <w:p w14:paraId="0872BD0C" w14:textId="77777777" w:rsidR="0058052E" w:rsidRDefault="0058052E" w:rsidP="00420749">
      <w:pPr>
        <w:spacing w:after="0" w:line="240" w:lineRule="auto"/>
        <w:ind w:firstLine="709"/>
        <w:jc w:val="center"/>
        <w:rPr>
          <w:rFonts w:ascii="Times New Roman" w:hAnsi="Times New Roman" w:cs="Times New Roman"/>
          <w:b/>
          <w:bCs/>
          <w:lang w:val="uk-UA"/>
        </w:rPr>
      </w:pPr>
      <w:r w:rsidRPr="00420749">
        <w:rPr>
          <w:rFonts w:ascii="Times New Roman" w:hAnsi="Times New Roman" w:cs="Times New Roman"/>
          <w:b/>
          <w:bCs/>
        </w:rPr>
        <w:t>ТОВАРИСТВА З ОБМЕЖЕНОЮ ВІДПОВІДАЛЬНІСТЮ «ІНСТИТУТ ПІДВИЩЕННЯ КВАЛІФІКАЦІЇ ПСИХОЛОГІВ «ПЕРСПЕКТИВА»»</w:t>
      </w:r>
    </w:p>
    <w:p w14:paraId="78FDBB1B" w14:textId="77777777" w:rsidR="00420749" w:rsidRPr="00420749" w:rsidRDefault="00420749" w:rsidP="00420749">
      <w:pPr>
        <w:spacing w:after="0" w:line="240" w:lineRule="auto"/>
        <w:ind w:firstLine="709"/>
        <w:jc w:val="center"/>
        <w:rPr>
          <w:rFonts w:ascii="Times New Roman" w:hAnsi="Times New Roman" w:cs="Times New Roman"/>
          <w:b/>
          <w:bCs/>
          <w:lang w:val="uk-UA"/>
        </w:rPr>
      </w:pPr>
    </w:p>
    <w:p w14:paraId="34CB1D39"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1. ЗАГАЛЬНІ ПОЛОЖЕННЯ</w:t>
      </w:r>
    </w:p>
    <w:p w14:paraId="6F2CDF75"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1.1. Ці Правила визначають загальний порядок організації, реєстрації учасників, проведення, контролю участі, оцінювання результатів навчання та видачі документів за результатами проходження електронних навчальних курсів безперервного професійного розвитку працівників сфери охорони здоров’я (далі — ЕНК, заходи БПР), що проводяться Товариством з обмеженою відповідальністю «ІНСТИТУТ ПІДВИЩЕННЯ КВАЛІФІКАЦІЇ ПСИХОЛОГІВ «ПЕРСПЕКТИВА»» (далі — Провайдер).</w:t>
      </w:r>
    </w:p>
    <w:p w14:paraId="27857DD9"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1.2. Правила розроблені відповідно до законодавства України у сфері освіти та безперервного професійного розвитку працівників сфери охорони здоров’я, зокрема Положення про систему безперервного професійного розвитку працівників сфери охорони здоров’я, затвердженого постановою Кабінету Міністрів України від 14 липня 2021 року № 725, та інших нормативно-правових актів, що регулюють організацію і проведення заходів БПР.</w:t>
      </w:r>
    </w:p>
    <w:p w14:paraId="4739A85A"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1.3. Електронний навчальний курс — комплекс навчально-методичних матеріалів та освітніх послуг, призначених для організації індивідуального або групового навчання з використанням електронних технологій.</w:t>
      </w:r>
    </w:p>
    <w:p w14:paraId="09FC5938"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1.4. ЕНК можуть проводитися дистанційно в асинхронному форматі, який передбачає доступ учасників до навчальних матеріалів у зручний для них час протягом визначеного періоду проведення заходу.</w:t>
      </w:r>
    </w:p>
    <w:p w14:paraId="30F768A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1.5. Залежно від затвердженої навчальної програми ЕНК може передбачати додаткові форми навчальної взаємодії, зокрема консультації, обговорення, виконання навчальних завдань або інші активності, що організовуються з використанням електронних технологій.</w:t>
      </w:r>
    </w:p>
    <w:p w14:paraId="1E758D35"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1.6. Тема, мета, цільова аудиторія, загальна тривалість, зміст навчання, кількість балів БПР, строки проведення, форми контролю та інші особливості кожного ЕНК визначаються його затвердженою навчальною програмою, програмою проведення та умовами відповідного заходу.</w:t>
      </w:r>
    </w:p>
    <w:p w14:paraId="1EB6DDE2"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1.7. Інформація про кожний захід БПР розміщується на офіційному вебсайті Провайдера українською мовою.</w:t>
      </w:r>
    </w:p>
    <w:p w14:paraId="686AE058"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1.8. Правила є обов’язковими для застосування Провайдером під час організації електронних навчальних курсів БПР та доводяться до відома учасників до початку навчання.</w:t>
      </w:r>
    </w:p>
    <w:p w14:paraId="3693D75B"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672D877A"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2. ІНФОРМУВАННЯ, ПОПЕРЕДНІЙ ВІДБІР ТА РЕЄСТРАЦІЯ УЧАСНИКІВ</w:t>
      </w:r>
    </w:p>
    <w:p w14:paraId="58B348A8"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lastRenderedPageBreak/>
        <w:t>2.1. Інформація про заплановані та зареєстровані заходи БПР оприлюднюється на офіційному вебсайті Провайдера, а також може поширюватися через інші інформаційні канали.</w:t>
      </w:r>
    </w:p>
    <w:p w14:paraId="70F7401A"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2.2. Особа, зацікавлена в проходженні навчання, може звернутися до Провайдера одним із доступних способів:</w:t>
      </w:r>
    </w:p>
    <w:p w14:paraId="586314F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 шляхом заповнення електронної заявки або реєстраційної форми;</w:t>
      </w:r>
    </w:p>
    <w:p w14:paraId="6C271FD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 через електронну пошту, телефон або інші офіційні канали комунікації;</w:t>
      </w:r>
    </w:p>
    <w:p w14:paraId="33FC6C98"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 шляхом безпосереднього звернення до уповноважених представників Провайдера.</w:t>
      </w:r>
    </w:p>
    <w:p w14:paraId="75DECA9F"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2.3. Залежно від змісту, професійної спрямованості та умов конкретного ЕНК для визначення відповідності кандидата вимогам навчальної програми може проводитися попередня співбесіда, консультація або інша процедура відбору.</w:t>
      </w:r>
    </w:p>
    <w:p w14:paraId="7F1039EF"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2.4. Попередня співбесіда може проводитися дистанційно або в іншій погодженій формі. Її мета — уточнення професійного досвіду кандидата, його освітніх потреб, очікувань та відповідності цільовій аудиторії курсу.</w:t>
      </w:r>
    </w:p>
    <w:p w14:paraId="2C8B6F8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2.5. Про необхідність проходження попереднього відбору та його умови кандидати інформуються до зарахування на відповідний курс.</w:t>
      </w:r>
    </w:p>
    <w:p w14:paraId="7C43331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2.6. Проведення попередньої співбесіди або подання заявки на навчання не є підтвердженням реєстрації особи як учасника заходу БПР.</w:t>
      </w:r>
    </w:p>
    <w:p w14:paraId="390BBC0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2.7. Реєстрація учасників на захід, за проходження якого передбачене нарахування балів БПР, здійснюється після внесення відповідного заходу до електронної системи забезпечення безперервного професійного розвитку працівників сфери охорони здоров’я (ЕСБПР) та присвоєння йому реєстраційного номера.</w:t>
      </w:r>
    </w:p>
    <w:p w14:paraId="1239BEC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2.8. Під час реєстрації на захід БПР Провайдер забезпечує отримання від учасників відомостей, необхідних для ідентифікації, обліку результатів навчання, оформлення сертифікатів та подання звітності відповідно до законодавства.</w:t>
      </w:r>
    </w:p>
    <w:p w14:paraId="4C5978E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2.9. Реєстрація на захід БПР здійснюється за умови надання учасником згоди на обробку персональних даних у випадках і порядку, передбачених законодавством.</w:t>
      </w:r>
    </w:p>
    <w:p w14:paraId="1F809CE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2.10. Після виконання умов реєстрації та зарахування на навчання учаснику надається підтвердження реєстрації та інформація про порядок отримання доступу до курсу.</w:t>
      </w:r>
    </w:p>
    <w:p w14:paraId="2410E380"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2.11. Конкретні умови участі, зокрема вимоги до попередньої освіти, професійної кваліфікації, проходження співбесіди та оплати навчання (за наявності), встановлюються для відповідного курсу й доводяться до відома кандидатів до зарахування.</w:t>
      </w:r>
    </w:p>
    <w:p w14:paraId="4C4435DF"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36F47034"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3. ОРГАНІЗАЦІЯ ТА ПРОВЕДЕННЯ НАВЧАННЯ</w:t>
      </w:r>
    </w:p>
    <w:p w14:paraId="5A81586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3.1. Електронні навчальні курси проводяться з використанням електронних навчальних платформ та інших інформаційно-комунікаційних технологій, визначених Провайдером.</w:t>
      </w:r>
    </w:p>
    <w:p w14:paraId="2F293545"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3.2. Учасникам надається персональний доступ до навчальних матеріалів відповідного ЕНК.</w:t>
      </w:r>
    </w:p>
    <w:p w14:paraId="5AED6757"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3.3. Навчальні матеріали можуть включати відеолекції, презентації, текстові матеріали, рекомендовану літературу, навчальні завдання та інші ресурси відповідно до затвердженої навчальної програми.</w:t>
      </w:r>
    </w:p>
    <w:p w14:paraId="60A2553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3.4. В асинхронному форматі учасники самостійно визначають час опрацювання навчальних матеріалів у межах установленого періоду проведення заходу.</w:t>
      </w:r>
    </w:p>
    <w:p w14:paraId="4EAAF172"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3.5. Послідовність опрацювання навчальних матеріалів, необхідність виконання окремих завдань та інші умови навчання визначаються програмою відповідного ЕНК.</w:t>
      </w:r>
    </w:p>
    <w:p w14:paraId="0EFD888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3.6. Тривалість навчання встановлюється відповідно до затвердженої навчальної програми та зазначається в інформації про захід БПР.</w:t>
      </w:r>
    </w:p>
    <w:p w14:paraId="2F6C0614"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lastRenderedPageBreak/>
        <w:t>3.7. Провайдер забезпечує учасникам доступ до навчальних матеріалів протягом періоду, визначеного умовами відповідного курсу.</w:t>
      </w:r>
    </w:p>
    <w:p w14:paraId="5E31EEFA"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3.8. У разі виникнення технічних труднощів, які перешкоджають проходженню навчання, учасник має право звернутися до уповноваженої особи Провайдера для отримання організаційної або технічної допомоги.</w:t>
      </w:r>
    </w:p>
    <w:p w14:paraId="3CA9D220"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3.9. Надання доступу до навчальних матеріалів здійснюється з дотриманням законодавства про авторське право та суміжні права.</w:t>
      </w:r>
    </w:p>
    <w:p w14:paraId="2121A99A"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59EEDF47"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4. КОМУНІКАЦІЯ З УЧАСНИКАМИ</w:t>
      </w:r>
    </w:p>
    <w:p w14:paraId="3BF895D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4.1. Організаційний супровід електронних навчальних курсів забезпечується уповноваженими особами Провайдера, зокрема координаторами відповідних курсів.</w:t>
      </w:r>
    </w:p>
    <w:p w14:paraId="4A9913E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4.2. Комунікація з учасниками здійснюється через визначені Провайдером канали зв'язку, зокрема електронну пошту, телефон, засоби електронної навчальної платформи, месенджери або інші доступні засоби комунікації.</w:t>
      </w:r>
    </w:p>
    <w:p w14:paraId="6D9E352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4.3. Учасникам надається інформація про порядок звернення з організаційних, навчальних і технічних питань.</w:t>
      </w:r>
    </w:p>
    <w:p w14:paraId="6968F825"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4.4. Умови отримання відповідей викладача на запитання щодо змісту навчання визначаються для відповідного ЕНК.</w:t>
      </w:r>
    </w:p>
    <w:p w14:paraId="7B049674"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4.5. За потреби Провайдер може організовувати додаткову взаємодію учасників із викладачами у формі консультацій, обговорень або інших навчальних активностей, якщо це передбачено програмою заходу.</w:t>
      </w:r>
    </w:p>
    <w:p w14:paraId="3D685F6C"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7A0CD95F"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5. КОНТРОЛЬ УЧАСТІ ТА ПРОХОДЖЕННЯ НАВЧАННЯ</w:t>
      </w:r>
    </w:p>
    <w:p w14:paraId="59FC0DA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5.1. Провайдер забезпечує ідентифікацію учасників електронних навчальних курсів БПР та ведення обліку їх участі.</w:t>
      </w:r>
    </w:p>
    <w:p w14:paraId="35A5323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5.2. Контроль участі здійснюється з використанням реєстраційних даних, відомостей електронних навчальних платформ та інших документованих засобів, які дозволяють підтвердити участь особи в навчанні.</w:t>
      </w:r>
    </w:p>
    <w:p w14:paraId="1D841A5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5.3. Залежно від технічних можливостей платформи та умов конкретного курсу можуть використовуватися дані про авторизацію учасника, доступ до навчальних матеріалів, проходження навчальних модулів, виконання завдань та результати оцінювання.</w:t>
      </w:r>
    </w:p>
    <w:p w14:paraId="6FF30B1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5.4. Критерії підтвердження участі й завершення навчання встановлюються для кожного електронного навчального курсу відповідно до затвердженої навчальної програми.</w:t>
      </w:r>
    </w:p>
    <w:p w14:paraId="59FE486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5.5. Провайдер забезпечує збереження відомостей, необхідних для підтвердження участі в заході БПР та достовірності результатів навчання.</w:t>
      </w:r>
    </w:p>
    <w:p w14:paraId="0B2B79D9"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5.6. Сам факт отримання доступу до навчальних матеріалів не є безумовним підтвердженням успішного завершення курсу та підставою для нарахування балів БПР.</w:t>
      </w:r>
    </w:p>
    <w:p w14:paraId="6721E7F0"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1DEE2DAF"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6. ПІДСУМКОВЕ ОЦІНЮВАННЯ РЕЗУЛЬТАТІВ НАВЧАННЯ</w:t>
      </w:r>
    </w:p>
    <w:p w14:paraId="555B60B9"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6.1. Оцінювання знань, компетентностей та практичних навичок, набутих учасниками під час проходження електронних навчальних курсів БПР, здійснюється відповідно до Методології оцінювання набутих знань, компетентностей та практичних навичок працівників сфери охорони здоров’я, затвердженої Провайдером.</w:t>
      </w:r>
    </w:p>
    <w:p w14:paraId="2D9A845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6.2. Форми підсумкового контролю, кількість завдань, критерії успішного проходження та інші особливості оцінювання визначаються навчальною програмою конкретного ЕНК.</w:t>
      </w:r>
    </w:p>
    <w:p w14:paraId="1BD46729"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6.3. Підсумкове оцінювання здійснюється в електронній формі з використанням технічних засобів, визначених Провайдером.</w:t>
      </w:r>
    </w:p>
    <w:p w14:paraId="3E864A0A"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lastRenderedPageBreak/>
        <w:t>6.4. Учасникам забезпечується доступ до проходження підсумкового оцінювання в межах установленого періоду проведення відповідного заходу БПР.</w:t>
      </w:r>
    </w:p>
    <w:p w14:paraId="40D339A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6.5. Критерії успішного проходження підсумкового оцінювання доводяться до відома учасників до початку оцінювання.</w:t>
      </w:r>
    </w:p>
    <w:p w14:paraId="025865B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6.6. У разі недосягнення встановленого порогу успішності учасник має право на повторне проходження оцінювання відповідно до затвердженої Методології Провайдера.</w:t>
      </w:r>
    </w:p>
    <w:p w14:paraId="1443A681"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6.7. Загальна кількість спроб оцінювання не може перевищувати трьох.</w:t>
      </w:r>
    </w:p>
    <w:p w14:paraId="0257681A"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6.8. Провайдер забезпечує облік результатів оцінювання, зокрема ідентифікаційних даних учасника, дати й часу проходження оцінювання, наданих відповідей, кількості спроб та результату оцінювання.</w:t>
      </w:r>
    </w:p>
    <w:p w14:paraId="6E4171A1"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6.9. Порядок урахування повторних спроб визначається відповідно до Методології оцінювання та умов конкретного заходу.</w:t>
      </w:r>
    </w:p>
    <w:p w14:paraId="5FB11291"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6.10. У разі недосягнення встановленого порогу успішності за результатами передбачених спроб результати навчання вважаються непідтвердженими.</w:t>
      </w:r>
    </w:p>
    <w:p w14:paraId="272236CB"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6.11. У разі виникнення спірних питань щодо результатів оцінювання учасник має право звернутися до керівника Провайдера для їх розгляду відповідно до затвердженої Методології.</w:t>
      </w:r>
    </w:p>
    <w:p w14:paraId="1903FBA9"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669CD5B9"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7. УМОВИ ОТРИМАННЯ СЕРТИФІКАТА ТА НАРАХУВАННЯ БАЛІВ БПР</w:t>
      </w:r>
    </w:p>
    <w:p w14:paraId="29BFFB17"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7.1. Сертифікат про проходження електронного навчального курсу БПР видається учаснику після виконання встановлених умов навчання та успішного проходження підсумкового оцінювання.</w:t>
      </w:r>
    </w:p>
    <w:p w14:paraId="451075E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7.2. Підставою для видачі сертифіката є підтвердження участі в заході та результатів навчання відповідно до затвердженої навчальної програми й Методології оцінювання Провайдера.</w:t>
      </w:r>
    </w:p>
    <w:p w14:paraId="2386E805"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7.3. Кількість балів БПР визначається відповідно до вимог чинного законодавства та відомостей про зареєстрований захід.</w:t>
      </w:r>
    </w:p>
    <w:p w14:paraId="097FD2E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7.4. Сертифікат містить відомості, передбачені законодавством України та вимогами електронної системи забезпечення БПР.</w:t>
      </w:r>
    </w:p>
    <w:p w14:paraId="07CA752F"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7.5. Сертифікати можуть оформлюватися та надаватися учасникам в електронній формі відповідно до встановленого Провайдером порядку.</w:t>
      </w:r>
    </w:p>
    <w:p w14:paraId="7CFE4551"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7.6. У разі невиконання умов навчання або непідтвердження результатів підсумкового оцінювання сертифікат із балами БПР не видається.</w:t>
      </w:r>
    </w:p>
    <w:p w14:paraId="782328BB"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41B62BF0"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8. МОНІТОРИНГ, ДОКУМЕНТУВАННЯ ТА ЗВІТНІСТЬ</w:t>
      </w:r>
    </w:p>
    <w:p w14:paraId="04C0653E"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8.1. Провайдер забезпечує організацію та проведення електронних навчальних курсів відповідно до вимог законодавства України у сфері БПР.</w:t>
      </w:r>
    </w:p>
    <w:p w14:paraId="63F8A0D6"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8.2. Провайдер забезпечує можливість здійснення моніторингу заходів БПР уповноваженими представниками адміністратора ЕСБПР у встановленому порядку.</w:t>
      </w:r>
    </w:p>
    <w:p w14:paraId="543F1D1D"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8.3. Для здійснення моніторингового візиту може надаватися доступ до навчальних матеріалів відповідного ЕНК через електронну навчальну платформу.</w:t>
      </w:r>
    </w:p>
    <w:p w14:paraId="144CC68B"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8.4. Провайдер здійснює документування результатів участі та оцінювання учасників, а також веде облік виданих сертифікатів.</w:t>
      </w:r>
    </w:p>
    <w:p w14:paraId="60697047"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8.5. Інформація про результати проведення електронних навчальних курсів БПР подається до ЕСБПР у строки та порядку, визначені чинним законодавством.</w:t>
      </w:r>
    </w:p>
    <w:p w14:paraId="48052CF5"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8.6. Провайдер забезпечує достовірність відомостей, що подаються до ЕСБПР.</w:t>
      </w:r>
    </w:p>
    <w:p w14:paraId="2D9E41E1"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099A92B1"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9. ЗАХИСТ ПЕРСОНАЛЬНИХ ДАНИХ ТА НАВЧАЛЬНИХ МАТЕРІАЛІВ</w:t>
      </w:r>
    </w:p>
    <w:p w14:paraId="09FA420F"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9.1. Персональні дані учасників обробляються відповідно до законодавства України про захист персональних даних.</w:t>
      </w:r>
    </w:p>
    <w:p w14:paraId="60C4DDF0"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lastRenderedPageBreak/>
        <w:t>9.2. Обробка персональних даних здійснюється з метою організації навчання, ідентифікації учасників, обліку результатів оцінювання, оформлення сертифікатів та виконання інших обов'язків Провайдера, передбачених законодавством.</w:t>
      </w:r>
    </w:p>
    <w:p w14:paraId="7B832BA2"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9.3. Навчальні матеріали, розміщені на електронних платформах Провайдера, використовуються учасниками відповідно до умов надання доступу та вимог законодавства про авторське право.</w:t>
      </w:r>
    </w:p>
    <w:p w14:paraId="722DD1D2" w14:textId="77777777" w:rsidR="0058052E" w:rsidRDefault="0058052E" w:rsidP="0058052E">
      <w:pPr>
        <w:spacing w:after="0" w:line="240" w:lineRule="auto"/>
        <w:ind w:firstLine="709"/>
        <w:jc w:val="both"/>
        <w:rPr>
          <w:rFonts w:ascii="Times New Roman" w:hAnsi="Times New Roman" w:cs="Times New Roman"/>
          <w:lang w:val="uk-UA"/>
        </w:rPr>
      </w:pPr>
      <w:r w:rsidRPr="0058052E">
        <w:rPr>
          <w:rFonts w:ascii="Times New Roman" w:hAnsi="Times New Roman" w:cs="Times New Roman"/>
        </w:rPr>
        <w:t>9.4. Учасники зобов'язані дотримуватися встановленого порядку використання навчальних матеріалів та персональних облікових записів.</w:t>
      </w:r>
    </w:p>
    <w:p w14:paraId="0A813910" w14:textId="77777777" w:rsidR="002874D7" w:rsidRPr="002874D7" w:rsidRDefault="002874D7" w:rsidP="0058052E">
      <w:pPr>
        <w:spacing w:after="0" w:line="240" w:lineRule="auto"/>
        <w:ind w:firstLine="709"/>
        <w:jc w:val="both"/>
        <w:rPr>
          <w:rFonts w:ascii="Times New Roman" w:hAnsi="Times New Roman" w:cs="Times New Roman"/>
          <w:lang w:val="uk-UA"/>
        </w:rPr>
      </w:pPr>
    </w:p>
    <w:p w14:paraId="62D75BC0" w14:textId="77777777" w:rsidR="0058052E" w:rsidRPr="0058052E" w:rsidRDefault="0058052E" w:rsidP="0058052E">
      <w:pPr>
        <w:spacing w:after="0" w:line="240" w:lineRule="auto"/>
        <w:ind w:firstLine="709"/>
        <w:jc w:val="both"/>
        <w:rPr>
          <w:rFonts w:ascii="Times New Roman" w:hAnsi="Times New Roman" w:cs="Times New Roman"/>
          <w:b/>
          <w:bCs/>
        </w:rPr>
      </w:pPr>
      <w:r w:rsidRPr="0058052E">
        <w:rPr>
          <w:rFonts w:ascii="Times New Roman" w:hAnsi="Times New Roman" w:cs="Times New Roman"/>
          <w:b/>
          <w:bCs/>
        </w:rPr>
        <w:t>10. ПРИКІНЦЕВІ ПОЛОЖЕННЯ</w:t>
      </w:r>
    </w:p>
    <w:p w14:paraId="7AE7B554"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10.1. Ці Правила набирають чинності з дати, визначеної наказом директорки Провайдера про їх затвердження.</w:t>
      </w:r>
    </w:p>
    <w:p w14:paraId="26245CE4"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10.2. Правила застосовуються до електронних навчальних курсів БПР, що проводяться Провайдером після набрання ними чинності.</w:t>
      </w:r>
    </w:p>
    <w:p w14:paraId="5C0C5697"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10.3. Особливості проведення окремого електронного навчального курсу, які не врегульовані цими Правилами, визначаються його затвердженою навчальною програмою, програмою проведення та інформацією про відповідний захід.</w:t>
      </w:r>
    </w:p>
    <w:p w14:paraId="6062CECC" w14:textId="77777777"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10.4. Зміни та доповнення до Правил затверджуються у встановленому Провайдером порядку.</w:t>
      </w:r>
    </w:p>
    <w:p w14:paraId="0F8BBCFE" w14:textId="49A4502F" w:rsidR="0058052E" w:rsidRPr="0058052E" w:rsidRDefault="0058052E" w:rsidP="0058052E">
      <w:pPr>
        <w:spacing w:after="0" w:line="240" w:lineRule="auto"/>
        <w:ind w:firstLine="709"/>
        <w:jc w:val="both"/>
        <w:rPr>
          <w:rFonts w:ascii="Times New Roman" w:hAnsi="Times New Roman" w:cs="Times New Roman"/>
        </w:rPr>
      </w:pPr>
      <w:r w:rsidRPr="0058052E">
        <w:rPr>
          <w:rFonts w:ascii="Times New Roman" w:hAnsi="Times New Roman" w:cs="Times New Roman"/>
        </w:rPr>
        <w:t>10.5. Питання, не врегульовані цими Правилами, вирішуються відповідно до законодавства України.</w:t>
      </w:r>
    </w:p>
    <w:sectPr w:rsidR="0058052E" w:rsidRPr="005805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52E"/>
    <w:rsid w:val="002874D7"/>
    <w:rsid w:val="00420749"/>
    <w:rsid w:val="0058052E"/>
    <w:rsid w:val="008D7AB2"/>
  </w:rsids>
  <m:mathPr>
    <m:mathFont m:val="Cambria Math"/>
    <m:brkBin m:val="before"/>
    <m:brkBinSub m:val="--"/>
    <m:smallFrac m:val="0"/>
    <m:dispDef/>
    <m:lMargin m:val="0"/>
    <m:rMargin m:val="0"/>
    <m:defJc m:val="centerGroup"/>
    <m:wrapIndent m:val="1440"/>
    <m:intLim m:val="subSup"/>
    <m:naryLim m:val="undOvr"/>
  </m:mathPr>
  <w:themeFontLang w:val="de-UA"/>
  <w:clrSchemeMapping w:bg1="light1" w:t1="dark1" w:bg2="light2" w:t2="dark2" w:accent1="accent1" w:accent2="accent2" w:accent3="accent3" w:accent4="accent4" w:accent5="accent5" w:accent6="accent6" w:hyperlink="hyperlink" w:followedHyperlink="followedHyperlink"/>
  <w:decimalSymbol w:val=","/>
  <w:listSeparator w:val=";"/>
  <w14:docId w14:val="467AA935"/>
  <w15:chartTrackingRefBased/>
  <w15:docId w15:val="{D8D64C61-3CAA-1048-ABD2-DC91AA62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80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80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8052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8052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8052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805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805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805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805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8052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8052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8052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8052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8052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805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805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805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8052E"/>
    <w:rPr>
      <w:rFonts w:eastAsiaTheme="majorEastAsia" w:cstheme="majorBidi"/>
      <w:color w:val="272727" w:themeColor="text1" w:themeTint="D8"/>
    </w:rPr>
  </w:style>
  <w:style w:type="paragraph" w:styleId="Titel">
    <w:name w:val="Title"/>
    <w:basedOn w:val="Standard"/>
    <w:next w:val="Standard"/>
    <w:link w:val="TitelZchn"/>
    <w:uiPriority w:val="10"/>
    <w:qFormat/>
    <w:rsid w:val="00580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805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805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805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805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8052E"/>
    <w:rPr>
      <w:i/>
      <w:iCs/>
      <w:color w:val="404040" w:themeColor="text1" w:themeTint="BF"/>
    </w:rPr>
  </w:style>
  <w:style w:type="paragraph" w:styleId="Listenabsatz">
    <w:name w:val="List Paragraph"/>
    <w:basedOn w:val="Standard"/>
    <w:uiPriority w:val="34"/>
    <w:qFormat/>
    <w:rsid w:val="0058052E"/>
    <w:pPr>
      <w:ind w:left="720"/>
      <w:contextualSpacing/>
    </w:pPr>
  </w:style>
  <w:style w:type="character" w:styleId="IntensiveHervorhebung">
    <w:name w:val="Intense Emphasis"/>
    <w:basedOn w:val="Absatz-Standardschriftart"/>
    <w:uiPriority w:val="21"/>
    <w:qFormat/>
    <w:rsid w:val="0058052E"/>
    <w:rPr>
      <w:i/>
      <w:iCs/>
      <w:color w:val="0F4761" w:themeColor="accent1" w:themeShade="BF"/>
    </w:rPr>
  </w:style>
  <w:style w:type="paragraph" w:styleId="IntensivesZitat">
    <w:name w:val="Intense Quote"/>
    <w:basedOn w:val="Standard"/>
    <w:next w:val="Standard"/>
    <w:link w:val="IntensivesZitatZchn"/>
    <w:uiPriority w:val="30"/>
    <w:qFormat/>
    <w:rsid w:val="00580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8052E"/>
    <w:rPr>
      <w:i/>
      <w:iCs/>
      <w:color w:val="0F4761" w:themeColor="accent1" w:themeShade="BF"/>
    </w:rPr>
  </w:style>
  <w:style w:type="character" w:styleId="IntensiverVerweis">
    <w:name w:val="Intense Reference"/>
    <w:basedOn w:val="Absatz-Standardschriftart"/>
    <w:uiPriority w:val="32"/>
    <w:qFormat/>
    <w:rsid w:val="005805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1763</Words>
  <Characters>11111</Characters>
  <Application>Microsoft Office Word</Application>
  <DocSecurity>0</DocSecurity>
  <Lines>92</Lines>
  <Paragraphs>25</Paragraphs>
  <ScaleCrop>false</ScaleCrop>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Kseniia Peliukhnia</dc:creator>
  <cp:keywords/>
  <dc:description/>
  <cp:lastModifiedBy>Kseniia Peliukhnia</cp:lastModifiedBy>
  <cp:revision>3</cp:revision>
  <dcterms:created xsi:type="dcterms:W3CDTF">2026-10-19T14:35:00Z</dcterms:created>
  <dcterms:modified xsi:type="dcterms:W3CDTF">2026-10-19T16:30:00Z</dcterms:modified>
</cp:coreProperties>
</file>