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3F98" w14:textId="77777777" w:rsidR="00AA1A8A" w:rsidRPr="00AA1A8A" w:rsidRDefault="00AA1A8A" w:rsidP="00AC6FC6">
      <w:pPr>
        <w:tabs>
          <w:tab w:val="left" w:pos="708"/>
          <w:tab w:val="center" w:pos="4677"/>
          <w:tab w:val="right" w:pos="9355"/>
        </w:tabs>
        <w:spacing w:after="0"/>
        <w:ind w:firstLine="426"/>
        <w:jc w:val="center"/>
        <w:rPr>
          <w:rFonts w:ascii="Times New Roman" w:hAnsi="Times New Roman" w:cs="Times New Roman"/>
          <w:b/>
          <w:sz w:val="24"/>
          <w:szCs w:val="24"/>
        </w:rPr>
      </w:pPr>
    </w:p>
    <w:p w14:paraId="0B78833D" w14:textId="24D51BE7" w:rsidR="00AA1A8A" w:rsidRPr="00AA1A8A" w:rsidRDefault="00B91D30" w:rsidP="00AC6FC6">
      <w:pPr>
        <w:tabs>
          <w:tab w:val="left" w:pos="708"/>
          <w:tab w:val="center" w:pos="4677"/>
          <w:tab w:val="right" w:pos="9355"/>
        </w:tabs>
        <w:spacing w:after="0"/>
        <w:ind w:firstLine="426"/>
        <w:jc w:val="center"/>
        <w:rPr>
          <w:rFonts w:ascii="Times New Roman" w:hAnsi="Times New Roman" w:cs="Times New Roman"/>
          <w:b/>
          <w:sz w:val="24"/>
          <w:szCs w:val="24"/>
        </w:rPr>
      </w:pPr>
      <w:r w:rsidRPr="00B91D30">
        <w:rPr>
          <w:rFonts w:ascii="Times New Roman" w:hAnsi="Times New Roman" w:cs="Times New Roman"/>
          <w:b/>
          <w:sz w:val="24"/>
          <w:szCs w:val="24"/>
        </w:rPr>
        <w:t>Обгрунтування технічних, якісних і кількісних характеристик:</w:t>
      </w:r>
      <w:r w:rsidR="00AA1A8A" w:rsidRPr="00AA1A8A">
        <w:rPr>
          <w:rFonts w:ascii="Times New Roman" w:hAnsi="Times New Roman" w:cs="Times New Roman"/>
          <w:b/>
          <w:sz w:val="24"/>
          <w:szCs w:val="24"/>
        </w:rPr>
        <w:t xml:space="preserve"> </w:t>
      </w:r>
    </w:p>
    <w:p w14:paraId="294F668C" w14:textId="77777777" w:rsidR="00AA1A8A" w:rsidRPr="00AA1A8A" w:rsidRDefault="00AA1A8A" w:rsidP="00AC6FC6">
      <w:pPr>
        <w:tabs>
          <w:tab w:val="left" w:pos="708"/>
          <w:tab w:val="center" w:pos="4677"/>
          <w:tab w:val="right" w:pos="9355"/>
        </w:tabs>
        <w:spacing w:after="0"/>
        <w:ind w:firstLine="426"/>
        <w:jc w:val="center"/>
        <w:rPr>
          <w:rFonts w:ascii="Times New Roman" w:hAnsi="Times New Roman" w:cs="Times New Roman"/>
          <w:b/>
          <w:sz w:val="24"/>
          <w:szCs w:val="24"/>
        </w:rPr>
      </w:pPr>
      <w:r w:rsidRPr="00AA1A8A">
        <w:rPr>
          <w:rFonts w:ascii="Times New Roman" w:hAnsi="Times New Roman" w:cs="Times New Roman"/>
          <w:b/>
          <w:sz w:val="24"/>
          <w:szCs w:val="24"/>
        </w:rPr>
        <w:t>на закупівлю по предмету</w:t>
      </w:r>
    </w:p>
    <w:p w14:paraId="661DC2DA" w14:textId="77777777" w:rsidR="00AA1A8A" w:rsidRPr="00AA1A8A" w:rsidRDefault="00AA1A8A" w:rsidP="00AC6FC6">
      <w:pPr>
        <w:tabs>
          <w:tab w:val="left" w:pos="708"/>
          <w:tab w:val="center" w:pos="4677"/>
          <w:tab w:val="right" w:pos="9355"/>
        </w:tabs>
        <w:spacing w:after="0"/>
        <w:ind w:firstLine="426"/>
        <w:jc w:val="center"/>
        <w:rPr>
          <w:rFonts w:ascii="Times New Roman" w:hAnsi="Times New Roman" w:cs="Times New Roman"/>
          <w:b/>
          <w:sz w:val="24"/>
          <w:szCs w:val="24"/>
        </w:rPr>
      </w:pPr>
    </w:p>
    <w:p w14:paraId="738C0BCC" w14:textId="7EA7B886" w:rsidR="00720870" w:rsidRDefault="00417166" w:rsidP="00720870">
      <w:pPr>
        <w:spacing w:after="0"/>
        <w:jc w:val="center"/>
        <w:rPr>
          <w:rFonts w:ascii="Times New Roman" w:hAnsi="Times New Roman" w:cs="Times New Roman"/>
          <w:b/>
          <w:sz w:val="24"/>
          <w:szCs w:val="24"/>
        </w:rPr>
      </w:pPr>
      <w:r>
        <w:rPr>
          <w:rFonts w:ascii="Times New Roman" w:hAnsi="Times New Roman"/>
          <w:b/>
          <w:bCs/>
          <w:sz w:val="24"/>
          <w:szCs w:val="24"/>
        </w:rPr>
        <w:t>К</w:t>
      </w:r>
      <w:r w:rsidRPr="0059366A">
        <w:rPr>
          <w:rFonts w:ascii="Times New Roman" w:hAnsi="Times New Roman" w:cs="Times New Roman"/>
          <w:b/>
          <w:bCs/>
          <w:sz w:val="24"/>
          <w:szCs w:val="24"/>
          <w:lang/>
        </w:rPr>
        <w:t>онтейнери MACO BIOTECH EVA для заморозки 30-140 мл</w:t>
      </w:r>
    </w:p>
    <w:p w14:paraId="5A571363" w14:textId="175D5B80" w:rsidR="00720870" w:rsidRDefault="00720870" w:rsidP="00720870">
      <w:pPr>
        <w:spacing w:after="0"/>
        <w:jc w:val="center"/>
        <w:rPr>
          <w:rFonts w:ascii="Times New Roman" w:eastAsia="Arial Narrow" w:hAnsi="Times New Roman" w:cs="Times New Roman"/>
          <w:b/>
          <w:noProof/>
          <w:lang w:eastAsia="uk-UA"/>
        </w:rPr>
      </w:pPr>
      <w:r w:rsidRPr="00720870">
        <w:rPr>
          <w:rFonts w:ascii="Times New Roman" w:hAnsi="Times New Roman" w:cs="Times New Roman"/>
          <w:b/>
          <w:sz w:val="24"/>
          <w:szCs w:val="24"/>
        </w:rPr>
        <w:t>(код ДК 021:2015 – 33140000-3 Медичні матеріали)</w:t>
      </w:r>
    </w:p>
    <w:p w14:paraId="17B3841E" w14:textId="77777777" w:rsidR="00720870" w:rsidRPr="00706642" w:rsidRDefault="00720870" w:rsidP="00720870">
      <w:pPr>
        <w:rPr>
          <w:rFonts w:ascii="Times New Roman" w:eastAsia="Arial Narrow" w:hAnsi="Times New Roman" w:cs="Times New Roman"/>
          <w:b/>
          <w:noProof/>
          <w:lang w:eastAsia="uk-UA"/>
        </w:rPr>
      </w:pPr>
    </w:p>
    <w:tbl>
      <w:tblPr>
        <w:tblW w:w="55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7"/>
        <w:gridCol w:w="1987"/>
        <w:gridCol w:w="3543"/>
        <w:gridCol w:w="1118"/>
        <w:gridCol w:w="1249"/>
      </w:tblGrid>
      <w:tr w:rsidR="00217D1E" w:rsidRPr="00706642" w14:paraId="27D19486" w14:textId="77777777" w:rsidTr="00217D1E">
        <w:trPr>
          <w:trHeight w:val="20"/>
          <w:jc w:val="center"/>
        </w:trPr>
        <w:tc>
          <w:tcPr>
            <w:tcW w:w="269" w:type="pct"/>
            <w:shd w:val="clear" w:color="auto" w:fill="auto"/>
            <w:vAlign w:val="center"/>
          </w:tcPr>
          <w:p w14:paraId="598FA617" w14:textId="77777777" w:rsidR="00217D1E" w:rsidRPr="00706642" w:rsidRDefault="00217D1E" w:rsidP="009A2601">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w:t>
            </w:r>
          </w:p>
        </w:tc>
        <w:tc>
          <w:tcPr>
            <w:tcW w:w="951" w:type="pct"/>
          </w:tcPr>
          <w:p w14:paraId="4A091780" w14:textId="79AE80A6" w:rsidR="00217D1E" w:rsidRPr="00706642" w:rsidRDefault="00217D1E" w:rsidP="009A2601">
            <w:pPr>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Код НК</w:t>
            </w:r>
          </w:p>
        </w:tc>
        <w:tc>
          <w:tcPr>
            <w:tcW w:w="951" w:type="pct"/>
            <w:shd w:val="clear" w:color="auto" w:fill="auto"/>
            <w:vAlign w:val="center"/>
          </w:tcPr>
          <w:p w14:paraId="76E3941F" w14:textId="2E067D7E" w:rsidR="00217D1E" w:rsidRPr="00706642" w:rsidRDefault="00217D1E" w:rsidP="009A2601">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 xml:space="preserve">Найменування </w:t>
            </w:r>
            <w:r>
              <w:rPr>
                <w:rFonts w:ascii="Times New Roman" w:hAnsi="Times New Roman" w:cs="Times New Roman"/>
                <w:bCs/>
                <w:noProof/>
                <w:color w:val="000000" w:themeColor="text1"/>
                <w:lang w:eastAsia="uk-UA"/>
              </w:rPr>
              <w:t>товару</w:t>
            </w:r>
          </w:p>
        </w:tc>
        <w:tc>
          <w:tcPr>
            <w:tcW w:w="1696" w:type="pct"/>
            <w:shd w:val="clear" w:color="auto" w:fill="auto"/>
            <w:vAlign w:val="center"/>
          </w:tcPr>
          <w:p w14:paraId="13B66C50" w14:textId="318CC78A" w:rsidR="00217D1E" w:rsidRPr="00706642" w:rsidRDefault="00217D1E" w:rsidP="009A2601">
            <w:pPr>
              <w:jc w:val="center"/>
              <w:rPr>
                <w:rFonts w:ascii="Times New Roman" w:hAnsi="Times New Roman" w:cs="Times New Roman"/>
                <w:bCs/>
                <w:strike/>
                <w:noProof/>
                <w:color w:val="000000" w:themeColor="text1"/>
                <w:lang w:eastAsia="uk-UA"/>
              </w:rPr>
            </w:pPr>
            <w:r w:rsidRPr="00706642">
              <w:rPr>
                <w:rFonts w:ascii="Times New Roman" w:hAnsi="Times New Roman" w:cs="Times New Roman"/>
                <w:bCs/>
                <w:noProof/>
                <w:color w:val="000000" w:themeColor="text1"/>
                <w:lang w:eastAsia="uk-UA"/>
              </w:rPr>
              <w:t>Опис</w:t>
            </w:r>
            <w:r>
              <w:rPr>
                <w:rFonts w:ascii="Times New Roman" w:hAnsi="Times New Roman" w:cs="Times New Roman"/>
                <w:bCs/>
                <w:noProof/>
                <w:color w:val="000000" w:themeColor="text1"/>
                <w:lang w:eastAsia="uk-UA"/>
              </w:rPr>
              <w:t xml:space="preserve"> з е маркету</w:t>
            </w:r>
          </w:p>
        </w:tc>
        <w:tc>
          <w:tcPr>
            <w:tcW w:w="535" w:type="pct"/>
            <w:shd w:val="clear" w:color="auto" w:fill="auto"/>
            <w:vAlign w:val="center"/>
          </w:tcPr>
          <w:p w14:paraId="58660710" w14:textId="77777777" w:rsidR="00217D1E" w:rsidRPr="00706642" w:rsidRDefault="00217D1E" w:rsidP="009A2601">
            <w:pPr>
              <w:jc w:val="cente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Одиниця виміру</w:t>
            </w:r>
          </w:p>
        </w:tc>
        <w:tc>
          <w:tcPr>
            <w:tcW w:w="600" w:type="pct"/>
            <w:shd w:val="clear" w:color="auto" w:fill="auto"/>
            <w:vAlign w:val="center"/>
          </w:tcPr>
          <w:p w14:paraId="5D29CE06" w14:textId="77777777" w:rsidR="00217D1E" w:rsidRPr="00706642" w:rsidRDefault="00217D1E" w:rsidP="009A2601">
            <w:pPr>
              <w:rPr>
                <w:rFonts w:ascii="Times New Roman" w:hAnsi="Times New Roman" w:cs="Times New Roman"/>
                <w:bCs/>
                <w:noProof/>
                <w:color w:val="000000" w:themeColor="text1"/>
                <w:lang w:eastAsia="uk-UA"/>
              </w:rPr>
            </w:pPr>
            <w:r w:rsidRPr="00706642">
              <w:rPr>
                <w:rFonts w:ascii="Times New Roman" w:hAnsi="Times New Roman" w:cs="Times New Roman"/>
                <w:bCs/>
                <w:noProof/>
                <w:color w:val="000000" w:themeColor="text1"/>
                <w:lang w:eastAsia="uk-UA"/>
              </w:rPr>
              <w:t>Кількість</w:t>
            </w:r>
          </w:p>
        </w:tc>
      </w:tr>
      <w:tr w:rsidR="00217D1E" w:rsidRPr="00706642" w14:paraId="07469177" w14:textId="77777777" w:rsidTr="00217D1E">
        <w:trPr>
          <w:trHeight w:val="2585"/>
          <w:jc w:val="center"/>
        </w:trPr>
        <w:tc>
          <w:tcPr>
            <w:tcW w:w="269" w:type="pct"/>
            <w:shd w:val="clear" w:color="auto" w:fill="auto"/>
            <w:vAlign w:val="center"/>
          </w:tcPr>
          <w:p w14:paraId="0F960249" w14:textId="51C7DD56" w:rsidR="00217D1E" w:rsidRPr="00706642" w:rsidRDefault="00217D1E" w:rsidP="009A2601">
            <w:pPr>
              <w:spacing w:after="0"/>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1</w:t>
            </w:r>
          </w:p>
        </w:tc>
        <w:tc>
          <w:tcPr>
            <w:tcW w:w="951" w:type="pct"/>
            <w:vAlign w:val="center"/>
          </w:tcPr>
          <w:p w14:paraId="370AD247" w14:textId="166223A1" w:rsidR="00217D1E" w:rsidRPr="00217D1E" w:rsidRDefault="00217D1E" w:rsidP="009A2601">
            <w:pPr>
              <w:spacing w:after="0"/>
              <w:jc w:val="center"/>
              <w:rPr>
                <w:rFonts w:ascii="Times New Roman" w:hAnsi="Times New Roman" w:cs="Times New Roman"/>
                <w:bCs/>
                <w:noProof/>
                <w:color w:val="000000" w:themeColor="text1"/>
                <w:lang w:eastAsia="uk-UA"/>
              </w:rPr>
            </w:pPr>
            <w:r w:rsidRPr="00217D1E">
              <w:rPr>
                <w:rStyle w:val="ab"/>
                <w:rFonts w:ascii="Times New Roman" w:hAnsi="Times New Roman" w:cs="Times New Roman"/>
                <w:b w:val="0"/>
                <w:bCs w:val="0"/>
              </w:rPr>
              <w:t>Код 45781</w:t>
            </w:r>
            <w:r w:rsidRPr="00217D1E">
              <w:rPr>
                <w:rFonts w:ascii="Times New Roman" w:hAnsi="Times New Roman" w:cs="Times New Roman"/>
              </w:rPr>
              <w:t xml:space="preserve"> — Пакет для заморожування крові/компонентів крові (або зразків) IVD (діагностика in vitro)</w:t>
            </w:r>
          </w:p>
        </w:tc>
        <w:tc>
          <w:tcPr>
            <w:tcW w:w="951" w:type="pct"/>
            <w:shd w:val="clear" w:color="auto" w:fill="auto"/>
            <w:vAlign w:val="center"/>
          </w:tcPr>
          <w:p w14:paraId="08E267E4" w14:textId="59D76356" w:rsidR="00217D1E" w:rsidRPr="00706642" w:rsidRDefault="00217D1E" w:rsidP="009A2601">
            <w:pPr>
              <w:spacing w:after="0"/>
              <w:jc w:val="center"/>
              <w:rPr>
                <w:rFonts w:ascii="Times New Roman" w:hAnsi="Times New Roman" w:cs="Times New Roman"/>
                <w:bCs/>
                <w:noProof/>
                <w:color w:val="000000" w:themeColor="text1"/>
                <w:lang w:eastAsia="uk-UA"/>
              </w:rPr>
            </w:pPr>
            <w:r w:rsidRPr="00786BBC">
              <w:rPr>
                <w:rFonts w:ascii="Times New Roman" w:hAnsi="Times New Roman" w:cs="Times New Roman"/>
                <w:bCs/>
                <w:noProof/>
                <w:color w:val="000000" w:themeColor="text1"/>
                <w:lang w:eastAsia="uk-UA"/>
              </w:rPr>
              <w:t>Контейнери MACO BIOTECH EVA для заморозки EVA 30-140 мл</w:t>
            </w:r>
          </w:p>
        </w:tc>
        <w:tc>
          <w:tcPr>
            <w:tcW w:w="1696" w:type="pct"/>
            <w:shd w:val="clear" w:color="auto" w:fill="auto"/>
            <w:vAlign w:val="center"/>
          </w:tcPr>
          <w:p w14:paraId="70B8403C" w14:textId="77777777" w:rsidR="00217D1E" w:rsidRPr="00786BBC" w:rsidRDefault="00217D1E" w:rsidP="009A2601">
            <w:pPr>
              <w:pStyle w:val="a8"/>
              <w:spacing w:line="276" w:lineRule="auto"/>
              <w:ind w:left="34"/>
              <w:jc w:val="center"/>
              <w:rPr>
                <w:rFonts w:ascii="Times New Roman" w:eastAsia="Calibri" w:hAnsi="Times New Roman" w:cs="Times New Roman"/>
                <w:bCs/>
                <w:noProof/>
                <w:color w:val="000000" w:themeColor="text1"/>
                <w:lang w:val="uk-UA" w:eastAsia="uk-UA"/>
              </w:rPr>
            </w:pPr>
            <w:r w:rsidRPr="00786BBC">
              <w:rPr>
                <w:rFonts w:ascii="Times New Roman" w:eastAsia="Calibri" w:hAnsi="Times New Roman" w:cs="Times New Roman"/>
                <w:bCs/>
                <w:noProof/>
                <w:color w:val="000000" w:themeColor="text1"/>
                <w:lang w:val="uk-UA" w:eastAsia="uk-UA"/>
              </w:rPr>
              <w:t>Кріопакети для зберігання клітинного матеріалу в парах азоту. Стерильні. Об`єм до 30-140 мл. З додатковим коннекторами типу спайк-1 або замок типу Луєр -1, двома безголковими портами доступу. Кріоконтейнери призначені для кріоконсервування пуповинної крові при низьких температурах (-196℃). Виконані з матеріалу ЕVА, розроблені для тривалого зберігання при -196℃ (рідкий азот або його пари).</w:t>
            </w:r>
          </w:p>
        </w:tc>
        <w:tc>
          <w:tcPr>
            <w:tcW w:w="535" w:type="pct"/>
            <w:shd w:val="clear" w:color="auto" w:fill="auto"/>
            <w:vAlign w:val="center"/>
          </w:tcPr>
          <w:p w14:paraId="678536A7" w14:textId="77777777" w:rsidR="00217D1E" w:rsidRPr="00706642" w:rsidRDefault="00217D1E" w:rsidP="009A2601">
            <w:pPr>
              <w:spacing w:after="0"/>
              <w:jc w:val="center"/>
              <w:rPr>
                <w:rFonts w:ascii="Times New Roman" w:hAnsi="Times New Roman" w:cs="Times New Roman"/>
                <w:bCs/>
                <w:noProof/>
                <w:color w:val="000000" w:themeColor="text1"/>
                <w:lang w:eastAsia="uk-UA"/>
              </w:rPr>
            </w:pPr>
            <w:r w:rsidRPr="00375BE8">
              <w:rPr>
                <w:rFonts w:ascii="Times New Roman" w:hAnsi="Times New Roman" w:cs="Times New Roman"/>
                <w:bCs/>
                <w:noProof/>
                <w:color w:val="000000" w:themeColor="text1"/>
                <w:lang w:eastAsia="uk-UA"/>
              </w:rPr>
              <w:t>шт.</w:t>
            </w:r>
          </w:p>
        </w:tc>
        <w:tc>
          <w:tcPr>
            <w:tcW w:w="600" w:type="pct"/>
            <w:shd w:val="clear" w:color="auto" w:fill="auto"/>
            <w:vAlign w:val="center"/>
          </w:tcPr>
          <w:p w14:paraId="7C8EA46B" w14:textId="2129B26B" w:rsidR="00217D1E" w:rsidRDefault="00217D1E" w:rsidP="009A2601">
            <w:pPr>
              <w:spacing w:after="0"/>
              <w:jc w:val="center"/>
              <w:rPr>
                <w:rFonts w:ascii="Times New Roman" w:hAnsi="Times New Roman" w:cs="Times New Roman"/>
                <w:bCs/>
                <w:noProof/>
                <w:color w:val="000000" w:themeColor="text1"/>
                <w:lang w:eastAsia="uk-UA"/>
              </w:rPr>
            </w:pPr>
            <w:r>
              <w:rPr>
                <w:rFonts w:ascii="Times New Roman" w:hAnsi="Times New Roman" w:cs="Times New Roman"/>
                <w:bCs/>
                <w:noProof/>
                <w:color w:val="000000" w:themeColor="text1"/>
                <w:lang w:eastAsia="uk-UA"/>
              </w:rPr>
              <w:t>100</w:t>
            </w:r>
          </w:p>
        </w:tc>
      </w:tr>
    </w:tbl>
    <w:p w14:paraId="3947279F" w14:textId="77777777" w:rsidR="00720870" w:rsidRDefault="00720870" w:rsidP="00720870">
      <w:pPr>
        <w:spacing w:after="0"/>
        <w:ind w:firstLine="720"/>
        <w:jc w:val="both"/>
        <w:rPr>
          <w:rFonts w:ascii="Times New Roman" w:eastAsia="Times New Roman" w:hAnsi="Times New Roman" w:cs="Times New Roman"/>
          <w:i/>
        </w:rPr>
      </w:pPr>
    </w:p>
    <w:p w14:paraId="79C7CABC" w14:textId="77777777" w:rsidR="00720870" w:rsidRPr="00925A2A" w:rsidRDefault="00720870" w:rsidP="00417166">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00B9958C" w14:textId="77777777" w:rsidR="00720870" w:rsidRPr="00925A2A" w:rsidRDefault="00720870" w:rsidP="00417166">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C1BC9C3" w14:textId="166A66A6" w:rsidR="00720870" w:rsidRPr="00925A2A" w:rsidRDefault="00053741" w:rsidP="00417166">
      <w:pPr>
        <w:pStyle w:val="a7"/>
        <w:ind w:left="-709" w:firstLine="567"/>
        <w:jc w:val="both"/>
        <w:rPr>
          <w:rFonts w:ascii="Times New Roman" w:hAnsi="Times New Roman"/>
          <w:lang w:eastAsia="uk-UA"/>
        </w:rPr>
      </w:pPr>
      <w:r>
        <w:rPr>
          <w:rFonts w:ascii="Times New Roman" w:hAnsi="Times New Roman"/>
          <w:lang w:eastAsia="uk-UA"/>
        </w:rPr>
        <w:t>1</w:t>
      </w:r>
      <w:r w:rsidR="00720870" w:rsidRPr="00925A2A">
        <w:rPr>
          <w:rFonts w:ascii="Times New Roman" w:hAnsi="Times New Roman"/>
          <w:lang w:eastAsia="uk-UA"/>
        </w:rPr>
        <w:t>.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41180206" w14:textId="4CE8826A" w:rsidR="00720870" w:rsidRPr="00925A2A" w:rsidRDefault="00053741" w:rsidP="00417166">
      <w:pPr>
        <w:pStyle w:val="a7"/>
        <w:ind w:left="-709" w:firstLine="567"/>
        <w:jc w:val="both"/>
        <w:rPr>
          <w:rFonts w:ascii="Times New Roman" w:hAnsi="Times New Roman"/>
          <w:lang w:eastAsia="uk-UA"/>
        </w:rPr>
      </w:pPr>
      <w:r>
        <w:rPr>
          <w:rFonts w:ascii="Times New Roman" w:hAnsi="Times New Roman"/>
          <w:lang w:eastAsia="uk-UA"/>
        </w:rPr>
        <w:t>2</w:t>
      </w:r>
      <w:r w:rsidR="00720870" w:rsidRPr="00925A2A">
        <w:rPr>
          <w:rFonts w:ascii="Times New Roman" w:hAnsi="Times New Roman"/>
          <w:lang w:eastAsia="uk-UA"/>
        </w:rPr>
        <w:t>.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1128542" w14:textId="40708C36" w:rsidR="00720870" w:rsidRDefault="00053741" w:rsidP="00417166">
      <w:pPr>
        <w:pStyle w:val="a7"/>
        <w:ind w:left="-709" w:firstLine="567"/>
        <w:jc w:val="both"/>
        <w:rPr>
          <w:rFonts w:ascii="Times New Roman" w:hAnsi="Times New Roman"/>
          <w:lang w:eastAsia="uk-UA"/>
        </w:rPr>
      </w:pPr>
      <w:r>
        <w:rPr>
          <w:rFonts w:ascii="Times New Roman" w:hAnsi="Times New Roman"/>
          <w:lang w:eastAsia="uk-UA"/>
        </w:rPr>
        <w:t>3</w:t>
      </w:r>
      <w:r w:rsidR="00720870"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E8F1017" w14:textId="77777777" w:rsidR="00720870" w:rsidRDefault="00720870" w:rsidP="00720870">
      <w:pPr>
        <w:spacing w:after="0"/>
        <w:jc w:val="both"/>
        <w:rPr>
          <w:rFonts w:ascii="Times New Roman" w:hAnsi="Times New Roman" w:cs="Times New Roman"/>
        </w:rPr>
      </w:pPr>
    </w:p>
    <w:p w14:paraId="11E26747" w14:textId="38031734" w:rsidR="00D40230" w:rsidRPr="00C353B4" w:rsidRDefault="00D40230" w:rsidP="00720870">
      <w:pPr>
        <w:pStyle w:val="10"/>
        <w:spacing w:after="0"/>
        <w:ind w:left="-850"/>
        <w:jc w:val="center"/>
        <w:rPr>
          <w:rFonts w:ascii="Times New Roman" w:hAnsi="Times New Roman" w:cs="Times New Roman"/>
          <w:b/>
        </w:rPr>
      </w:pPr>
    </w:p>
    <w:sectPr w:rsidR="00D40230" w:rsidRPr="00C353B4"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636193"/>
    <w:multiLevelType w:val="hybridMultilevel"/>
    <w:tmpl w:val="480C6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3"/>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53741"/>
    <w:rsid w:val="000B4E9D"/>
    <w:rsid w:val="000D6713"/>
    <w:rsid w:val="000E4C7B"/>
    <w:rsid w:val="001159FF"/>
    <w:rsid w:val="001367FF"/>
    <w:rsid w:val="001E74A8"/>
    <w:rsid w:val="00201567"/>
    <w:rsid w:val="00205C2A"/>
    <w:rsid w:val="00217D1E"/>
    <w:rsid w:val="002E0027"/>
    <w:rsid w:val="002F1116"/>
    <w:rsid w:val="00324F1F"/>
    <w:rsid w:val="0036507B"/>
    <w:rsid w:val="00382EB4"/>
    <w:rsid w:val="003878BB"/>
    <w:rsid w:val="003D0DB7"/>
    <w:rsid w:val="00401BC4"/>
    <w:rsid w:val="00417166"/>
    <w:rsid w:val="0048001D"/>
    <w:rsid w:val="004928A9"/>
    <w:rsid w:val="004E72FA"/>
    <w:rsid w:val="004F0746"/>
    <w:rsid w:val="004F089C"/>
    <w:rsid w:val="005766EA"/>
    <w:rsid w:val="005A2B13"/>
    <w:rsid w:val="00616944"/>
    <w:rsid w:val="00631FF1"/>
    <w:rsid w:val="006664FB"/>
    <w:rsid w:val="0067240A"/>
    <w:rsid w:val="00675805"/>
    <w:rsid w:val="006B2132"/>
    <w:rsid w:val="006B26D2"/>
    <w:rsid w:val="006D45E5"/>
    <w:rsid w:val="006D684B"/>
    <w:rsid w:val="006E7174"/>
    <w:rsid w:val="006F6B66"/>
    <w:rsid w:val="00720870"/>
    <w:rsid w:val="007544D5"/>
    <w:rsid w:val="00761A58"/>
    <w:rsid w:val="00764FC6"/>
    <w:rsid w:val="007A79FC"/>
    <w:rsid w:val="007A7EF8"/>
    <w:rsid w:val="008103FE"/>
    <w:rsid w:val="008462EC"/>
    <w:rsid w:val="008653A7"/>
    <w:rsid w:val="008D22D2"/>
    <w:rsid w:val="00915423"/>
    <w:rsid w:val="009336EE"/>
    <w:rsid w:val="00944A75"/>
    <w:rsid w:val="00983CF1"/>
    <w:rsid w:val="009E19D1"/>
    <w:rsid w:val="00A84C45"/>
    <w:rsid w:val="00AA1A8A"/>
    <w:rsid w:val="00AC6FC6"/>
    <w:rsid w:val="00B25F46"/>
    <w:rsid w:val="00B714D6"/>
    <w:rsid w:val="00B8155B"/>
    <w:rsid w:val="00B91D30"/>
    <w:rsid w:val="00BA374E"/>
    <w:rsid w:val="00C065D4"/>
    <w:rsid w:val="00C353B4"/>
    <w:rsid w:val="00C67427"/>
    <w:rsid w:val="00C91B67"/>
    <w:rsid w:val="00D1379F"/>
    <w:rsid w:val="00D22C62"/>
    <w:rsid w:val="00D2427B"/>
    <w:rsid w:val="00D40230"/>
    <w:rsid w:val="00D9534F"/>
    <w:rsid w:val="00DA0813"/>
    <w:rsid w:val="00DB37D5"/>
    <w:rsid w:val="00DD3CED"/>
    <w:rsid w:val="00E115C2"/>
    <w:rsid w:val="00E832FD"/>
    <w:rsid w:val="00EA6A9B"/>
    <w:rsid w:val="00ED3A23"/>
    <w:rsid w:val="00F057E5"/>
    <w:rsid w:val="00F114B5"/>
    <w:rsid w:val="00F34208"/>
    <w:rsid w:val="00F45A0D"/>
    <w:rsid w:val="00F463D9"/>
    <w:rsid w:val="00F550C5"/>
    <w:rsid w:val="00F762FC"/>
    <w:rsid w:val="00F825DA"/>
    <w:rsid w:val="00FA1422"/>
    <w:rsid w:val="00FA39A3"/>
    <w:rsid w:val="00FB2FE0"/>
    <w:rsid w:val="00FE0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ы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99"/>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а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217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1852</Characters>
  <Application>Microsoft Office Word</Application>
  <DocSecurity>0</DocSecurity>
  <Lines>15</Lines>
  <Paragraphs>4</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2025-01-29T09:18:00Z</cp:lastPrinted>
  <dcterms:created xsi:type="dcterms:W3CDTF">2026-06-17T07:36:00Z</dcterms:created>
  <dcterms:modified xsi:type="dcterms:W3CDTF">2026-06-17T07:41:00Z</dcterms:modified>
</cp:coreProperties>
</file>