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ДОГОВІР ПОСТАЧАННЯ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Цей договір є офертою (пропозицією) Постачальника необмеженому колу фізичних та юридичних осіб (надалі – «Покупець») на постачання продукції на умовах, визначених цим Договором.</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Визначення термінів</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цьому Договорі наведені нижче терміни вживаються у наступних значеннях:</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Акцепт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повна й безумовна згода Покупця укласти договір, що робить договір укладеним.</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Постачальник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ТОВАРИСТВО З ОБМЕЖЕНОЮ ВІДПОВІДАЛЬНІСТЮ "СЕВЕН МІТАЛ", код ЄДРПОУ 45444600, Україна, 03110, місто Київ, вул. Кочура Григорія, будинок 19, корпус 3, кімната 11, ІПН 454446026580.</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Конфіденційна інформація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вся конфіденційна інформація, яку Сторона прямо чи опосередковано розкриває або робить доступною іншій Стороні, включаючи будь-яку інформацію, яка спеціально описана як конфіденційна Стороною, що її розкриває, та всю інформацію, що стосується бізнесу, інтересів, планів, намірів, цілей, фінансів, технічної інформації, даних, аналізу, адміністративних справ, особистих справ, операцій, процесів, політики, ноу-хау, персоналу, інформації про продукти або послуги, постачальників, дистриб'юторів, агентів, комерційної таємниці, дизайну, інтелектуальної власності (наприклад, торгових марок, авторських прав і патентів), а також будь-якої іншої інформації, яка обґрунтовано вважається конфіденційною Стороною, що розкриває інформацію.</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Товар(и)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вказані Постачальником у виставлених ним на Покупця рахунках товарно-матеріальні цінності.</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Сторона, Сторони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при множинному згадуванні: Покупець та Постачальник; у разі використання в однині: Постачальник або Покупець – в залежності від контексту.</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Загальні положення</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Цей Договір є договором приєднання в розумінні статті 634 Цивільного кодексу України. Договір вважається укладеним (та не потребує додаткового двостороннього підписання Сторонами) з моменту акцепту Покупцем.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Акцептом Договору вважається оплата Покупця виставленого Постачальником рахунку, що є підтвердженням того, що Покупець ознайомлений, погоджується та приймає всі умови цього Договору без будь-яких заперечень.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Предмет договору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Постачальник зобов'язується поставити і передати у власність Покупця Товар(и), а Покупець – прийняти і оплатити на умовах, передбачених цим Договором та рахунками, що є невід’ємними частинами до цього Договору.</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Характеристика Товару (найменування, опис, кількість) зазначається у відповідному рахунку, що є невід’ємною частиною цього договору. Рахунок формується Постачальником та виставляється Покупцеві на підставі замовлення Покупця, наданого в порядку п.2.3 цього Договору. Постачальник гарантує, що Товар є його власністю і вільний від прав третіх осіб, зокрема не є предметом застави (в тому числі податкової), не знаходиться під арештом, не є спільною власністю, вироблений на власних потужностях або придбаний з дотриманням діючих вимог законодавства України з питань взаєморозрахунків між суб’єктами господарювання.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Покупець надсилає Постачальнику на електронну адресу: </w:t>
      </w:r>
      <w:hyperlink r:id="rId7">
        <w:r w:rsidDel="00000000" w:rsidR="00000000" w:rsidRPr="00000000">
          <w:rPr>
            <w:color w:val="1155cc"/>
            <w:sz w:val="24"/>
            <w:szCs w:val="24"/>
            <w:highlight w:val="white"/>
            <w:u w:val="single"/>
            <w:rtl w:val="0"/>
          </w:rPr>
          <w:t xml:space="preserve">sales@7metal.com.ua</w:t>
        </w:r>
      </w:hyperlink>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замовлення довільної форми, яке повинно містити: опис, характеристики, необхідну кількість/обсяг та спосіб/базис поставки Товару. Покупцем можуть бути вказані додаткові вимоги, яким повинен відповідати Товар.</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здійснення поставки Товарів за участі перевізників Покупця, останнім в замовленні вказуються транспортні інструкції (найменування перевізника, тип та кількість транспортних засобів, їх номерні знаки та дані водіїв, способи та вимоги до пакування) та/або інструкції з відвантаження Товару (способи навантаження та розміщення на транспортних засобах, фіксації Товару). У разі відсутності таких інструкцій Постачальник здійснює відпуск та відвантаження на свій розсуд, з урахуванням особливостей, притаманних відповідному виду Товарів, а також технічних можливостей перевізника.</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Кількість та якість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Кількість, якість Товару та можливе відхилення (толеранс) визначається у рахунках, які є невід’ємними частинами цього Договору.</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 терміном «толеранс» Сторони розуміють допустиме відхилення в кількості/обсязі поставки (якщо таке є застосовним відносно обумовленого виду Товару), передбаченому відповідним рахунком, в межах якого (відхилення) у Постачальника не виникає відповідальності за поставку Товару в обсязі, відмінному від договірного.</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Якість Товару відповідатиме затвердженим державним стандартам та/або технічним умовам Постачальника. Претензії щодо якості Товару пред’являються протягом 14 днів з дати постачання, якщо інші умови не передбачені гарантією на Товар (за наявності).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Ціна, загальна вартість та порядок розрахунків</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Ціна Товару фіксується Сторонами у відповідному рахунку, що є невід’ємною частиною цього Договору.</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Ціна Договору вираховується шляхом складання вартостей Товару, вказаних у всіх рахунках, укладених до цього Договору протягом всього строку його дії.</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Ставка ПДВ (у разі застосування) визначається у розмірі, передбаченому нормами чинного законодавства України на дату укладання відповідного рахунку.</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Покупець здійснює оплату вартості Товару в сумі, порядку та строки, визначені згідно з умовами відповідного рахунку до цього Договору, шляхом перерахування грошових коштів на банківський рахунок Постачальника у відповідності до реквізитів, зазначених у рахунку Постачальника. Якщо в рахунку не вказано строк оплати, такий рахунок підлягає оплаті протягом 3 (трьох) днів з моменту його виставлення.</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Оплата вважається здійсненою в момент зарахування грошових коштів на банківський рахунок Постачальника.</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Порядок поставки</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Строк, умови (базис) поставки (відповідно до Правил Інкотермс у редакції 2010 року)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 місце поставки визначаються у рахунках до цього Договору. Вказаний у рахунку обсяг Товару може бути поставлений партіями, згідно з обсягами та умовами, вказаними у такому рахунку.</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5.1.1 При поставці Товару на умовах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DAP/DAT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датою поставки товару є дата оформлення видаткової накладної;</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право власності на Товар та ризики його пошкодження/знищення переходить до Покупця в момент приймання Товару Покупцем (його повноважним представником) та підписання Покупцем видаткової накладної.</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Товар вважається прийнятим по кількості відповідно даних, вказаних у видатковій накладній.</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5.1.2 При поставці Товару на умовах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FCA, CPT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датою поставки Товару є дата оформлення транспортної накладної (або іншого рівнозначного документу, що свідчить про приймання Товару до перевезення першим перевізником);</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право власності на Товар та ризики випадкового знищення та/або пошкодження (псування) Товару, в тому числі, природної втрати, пов'язаної із його перевезенням, переходять до Покупця з моменту передачі Товару першому перевізнику.</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Разом з Товаром Постачальник передає перевізником підписаний з боку Постачальника оригінал видаткової накладної. Після отримання Товару Покупець зобов’язаний протягом двох робочих днів підписати зі свого боку та повернути видаткову накладну Постачальникові.</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поставки Товару силами найнятого Покупцем перевізника, Товар вважається прийнятим по кількості, вказаній у транспортній накладній такого перевізника та видатковій накладній, що супроводжує такий Товар.</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виявлення розбіжностей у кількості Товарів, поставлених найнятим Постачальником перевізником, приймання Товару по кількості здійснюється спільно представниками Сторін, відповідно до правил абзацу другого пункту 6.3 цього Договору.</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При оформленні товаросупровідних документів на Товар в обов’язковому порядку вказується номер рахунку, який має відповідати відповідному рахунку на такий Товар, що є невід’ємною частиною цього Договору.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Товар пакується у тару, яка відповідає вимогам, зазначеним у замовленні Покупця, або загальноприйнятих стандартів та/або технічних умов, і забезпечує неушкодженість Товару та збереження його якості при транспортуванні. Тара (у разі її наявності) є незворотною та включається в ціну Товару.</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Права та обов’язки сторін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6.1 Постачальник зобов’язаний: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після встановлення Сторонами факту невідповідної якості Товару – замінити такий Товар протягом 5 (п’яти) робочих днів (без урахування часу, необхідного на виготовлення нового Товару), або відшкодувати його вартість (у разі її сплати Покупцем) протягом 5 (п’яти) робочих днів;</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завантажити поданий Покупцем транспорт відповідно до наданої Покупцем транспортної інструкції на загальний обсяг Товару, не менший, ніж сумарний обсяг вантажу, що може бути перевезений вказаним у такій транспортній інструкції транспортом. У разі ненадання Покупцем транспортної інструкції, або у разі заперечень перевізником виконання умов транспортної інструкції, Постачальник призупиняє навантаження до отримання відповідних розпоряджень Покупця. Оплата простою транспорту (компенсація витрат Постачальника за простій транспорту) в такому випадку покладається на Покупця;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97zbn59s9jf4"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 разі поставки на умовах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DAT/DAP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самостійно та за власний рахунок забезпечити завантаження Товару в справжні, технічно придатні для перевезення Товару транспортні засоби, забезпечити транспортування Товару до пункту призначення та його цілісність в дорозі. Оплата простою транспорту (компенсація витрат Постачальника за простій транспорту) внаслідок неприймання/невчасного приймання Товару у місці поставки покладається на Покупця;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протягом 1 (однієї) доби з моменту відправлення Товару на умовах поставки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FCA/CPT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надіслати Покупцю на його електронну пошту документи про підтвердження такого відправлення.</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6.2 Постачальник має право:</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зупинити поставку Товару у разі наявності заборгованості з боку Покупця за попередньою(-іми) та/або поточною поставкою(-ами) та/або оплатою штрафних санкцій;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вимагати від Покупця сплату компенсації та неустойки в зв’язку із невиконанням/несвоєчасним виконанням Покупцем власних зобов’язань перед Постачальником за цим Договором.</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6.3 Покупець зобов’язаний:</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 разі здійснення поставки силами найнятого Постачальником перевізника, забезпечити оперативне повідомлення Постачальника про наявність відхилення кількості доставленого Покупцеві Товару порівняно з кількістю, зазначеною у відповідних транспортних документах, та проведення розвантаження транспортного засобу в таких випадках виключно за погодженням з Постачальником;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своєчасно надавати інформацію Постачальнику щодо невідповідності якості та/або кількості поставленого Товару та надавати доступ до місця вивантаження Товару уповноваженому Постачальником представнику;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невідкладно (в той же день, коли Покупець дізнався про відповідний факт) повідомляти Постачальника про зміни до раніше наданих Покупцем транспортних інструкцій або інструкцій з відвантаження.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6.4 Покупець має право:</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відмовитись від приймання Товару у випадку, якщо якість Товару не відповідає вимогам, зазначеним у відповідному рахунку до Договору, та/або якщо з вини Постачальника поставку Товару здійснено пізніше термінів, зазначених умовами відповідного рахунку до Договору;</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забезпечити проведення якісного аналізу Товару незалежним експертом, погодженим із Постачальником.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Відповідальність сторін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За несвоєчасне або неналежне виконання своїх зобов’язань, винна Сторона сплачує за вимогою Сторони, що постраждала, пеню у розмірі подвійної облікової ставки НБУ від суми невиконаних зобов’язань за кожний день прострочення, але не більше 10% від вартісної оцінки цих зобов’язань.</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Виплата пені будь-якою із Сторін за прострочення виконання своїх зобов’язань не позбавляє цю Сторону від виконання зобов’язань згідно цього Договору.</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 У всіх інших випадках, не передбачених цим Договором та Рахунками до нього, Сторони несуть відповідальність, згідно з чинним законодавством України.</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Форс-мажорні обставини</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 Сторони погодилися, що у разі виникнення обставин непереборної сили, а саме: війни, військових дій, блокади, ембарго, валютних обмежень, змін у законодавстві Сторони, яка повинна виконати зобов’язання, які унеможливлюють виконання Стороною своїх зобов’язань за даним договором, пожеж, повеней, іншого стихійного лиха чи природних явищ, та безпосередньої дії таких обставин на Сторону, яка повинна виконати зобов’язання, Сторона звільняється від виконання своїх зобов’язань на час дії зазначених обставин. У разі коли дія зазначених обставин триває більш як 90 днів, кожна із Сторін має право на розірвання Договору і не несе відповідальності за таке розірвання за умови, що вона повідомить про це іншу Сторону не пізніш як за 30 днів до розірвання. Достатнім доказом дії таких обставин та терміну дії є сертифікат, виданий Торгово-промисловою палатою України.</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 З метою уникнення колізій у трактуванні положень даного розділу Договору, Сторони погодили, що факт введення та існування на момент укладання цього Договору воєнного стану в Україні, сам по собі не є форс-мажорною обставиною.</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Конфіденційність</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 Інформація щодо предмету, змісту та умов цього Договору, а також будь-яка інформація про іншу Сторону, яка стане відома Сторонам у зв’язку з виконанням цього Договору і яка може в разі розголошення такої інформації, завдати шкоди будь-якій із Сторін, вважається конфіденційною.</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 Протягом строку дії цього Договору та три роки після його завершення Сторони або їх представники зобов’язуються не розголошувати конфіденційну інформацію без письмової згоди на це іншої Сторони за виключенням випадків, передбачених чинним законодавством України. Сторона, що розкрила конфіденційну інформацію на підставі вимог закону зобов’язується негайно повідомити про таке розкриття іншу сторону.</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 Замовник має право надавати копію цього Договору, а також первинні документи (або їх копії), складені на його виконання, податковим та іншим органам виконавчої влади, контролюючим компаніям, банківським, аудиторським та іншим установам, що здійснюють аудит чи оцінку діяльності Замовника.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Вирішення спорів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 Усі спори та розбіжності, що виникають з цього Договору, вирішуються шляхом переговорів.</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10.2. Якщо спір не може бути вирішений шляхом переговорів, він передається на розгляд суду за місцезнаходженням Виконавця.</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Інші умови</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 Покупцю забороняється передавати будь-які свої права або обов’язки за цим Договором, за винятком випадків, коли на це отримана згода Постачальника.</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11.2. Постачальник залишає за собою право в односторонньому порядку вносити зміни до цього Договору, які набувають чинності з моменту їх публікації на сайті. Оплата нового рахунку після зміни умов означає, що Покупець погоджується з новими умовами. Замовлення, прийняті до виконання до запровадження нових умов, виконуються відповідно до умов, які діяли станом на дату здійснення Покупцем оплати.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 Сторонами обумовлено обмін документів з використанням електронної пошти, для чого ними використовуються наступні електронні адреси: з боку Постачальника – електронна адреса вказана, в п.2.3 цього Договору, з боку Покупця – електронна адреса, з якої було відправлено замовлення, згідно п. 2.3 цього Договору. Сторони підтверджують, що документи, передані в рамках цього Договору по електронній пошті матимуть юридичну силу до моменту обміну оригіналами, породжують права і обов’язки для Сторін, можуть бути подані до судових органів в якості належних доказів за умови, що такі документи відправлені з електронної адреси/отримані на електронну адресу, які вказані в цьому пункті Договору. В такому разі надіслані документи вважаються одержаними адресатом з моменту надсилання, якщо відправник не отримає автоматичне повідомлення про те, що такий документ не надіслано/не доставлено. У разі надсилання вказаного документу з іншої електронної адреси/на іншу електронну адресу, ніж вказані у відповідному документі, такий документ вважається одержаним з моменту отримання відповідного підтвердження Сторони-адресата про таке отримання.</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11.4. Номером Договору Постачальника з конкретним Покупцем вважатиметься номер рахунку, виставленого Постачальником такому Покупцю. Всі документи, які укладатимуться Сторонами на виконання відповідного замовлення, повинні містити посилання на номер такого рахунку.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11.5. Сторони домовилися, що у разі розбіжностей умов цього Договору з правилами "Інкотермс 2010" пріоритет матимуть умови Договору.</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11.6. Строком дії Договору в кожному окремому випадку вважатиметься строк виконання окремого замовлення.</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Редакція від </w:t>
    </w:r>
    <w:r w:rsidDel="00000000" w:rsidR="00000000" w:rsidRPr="00000000">
      <w:rPr>
        <w:rFonts w:ascii="Calibri" w:cs="Calibri" w:eastAsia="Calibri" w:hAnsi="Calibri"/>
        <w:i w:val="1"/>
        <w:iCs w:val="1"/>
        <w:sz w:val="22"/>
        <w:szCs w:val="22"/>
        <w:rtl w:val="0"/>
      </w:rPr>
      <w:t xml:space="preserve">17</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i w:val="1"/>
        <w:iCs w:val="1"/>
        <w:sz w:val="22"/>
        <w:szCs w:val="22"/>
        <w:rtl w:val="0"/>
      </w:rPr>
      <w:t xml:space="preserve">02</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.202</w:t>
    </w:r>
    <w:r w:rsidDel="00000000" w:rsidR="00000000" w:rsidRPr="00000000">
      <w:rPr>
        <w:rFonts w:ascii="Calibri" w:cs="Calibri" w:eastAsia="Calibri" w:hAnsi="Calibri"/>
        <w:i w:val="1"/>
        <w:iCs w:val="1"/>
        <w:sz w:val="22"/>
        <w:szCs w:val="22"/>
        <w:highlight w:val="white"/>
        <w:rtl w:val="0"/>
      </w:rPr>
      <w:t xml:space="preserve">6</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р.</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fr-FR"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Основнойтекст3">
    <w:name w:val="Основной текст 3"/>
    <w:basedOn w:val="Обычный"/>
    <w:next w:val="Основнойтекст3"/>
    <w:autoRedefine w:val="0"/>
    <w:hidden w:val="0"/>
    <w:qFormat w:val="0"/>
    <w:pPr>
      <w:suppressAutoHyphens w:val="1"/>
      <w:spacing w:after="120" w:line="1" w:lineRule="atLeast"/>
      <w:ind w:leftChars="-1" w:rightChars="0" w:firstLineChars="-1"/>
      <w:textDirection w:val="btLr"/>
      <w:textAlignment w:val="top"/>
      <w:outlineLvl w:val="0"/>
    </w:pPr>
    <w:rPr>
      <w:rFonts w:ascii="Arial" w:cs="Arial" w:hAnsi="Arial"/>
      <w:color w:val="000000"/>
      <w:w w:val="100"/>
      <w:position w:val="-1"/>
      <w:sz w:val="16"/>
      <w:szCs w:val="20"/>
      <w:effect w:val="none"/>
      <w:vertAlign w:val="baseline"/>
      <w:cs w:val="0"/>
      <w:em w:val="none"/>
      <w:lang w:bidi="ar-SA" w:eastAsia="en-US" w:val="en-US"/>
    </w:rPr>
  </w:style>
  <w:style w:type="paragraph" w:styleId="Основнойтекст">
    <w:name w:val="Основной текст"/>
    <w:basedOn w:val="Обычный"/>
    <w:next w:val="Основнойтекст"/>
    <w:autoRedefine w:val="0"/>
    <w:hidden w:val="0"/>
    <w:qFormat w:val="0"/>
    <w:pPr>
      <w:suppressAutoHyphens w:val="1"/>
      <w:spacing w:after="120" w:line="1" w:lineRule="atLeast"/>
      <w:ind w:leftChars="-1" w:rightChars="0" w:firstLineChars="-1"/>
      <w:textDirection w:val="btLr"/>
      <w:textAlignment w:val="top"/>
      <w:outlineLvl w:val="0"/>
    </w:pPr>
    <w:rPr>
      <w:rFonts w:ascii="Arial" w:cs="Times New Roman" w:hAnsi="Arial"/>
      <w:color w:val="000000"/>
      <w:w w:val="100"/>
      <w:position w:val="-1"/>
      <w:sz w:val="24"/>
      <w:szCs w:val="24"/>
      <w:effect w:val="none"/>
      <w:vertAlign w:val="baseline"/>
      <w:cs w:val="0"/>
      <w:em w:val="none"/>
      <w:lang w:bidi="ar-SA" w:eastAsia="fr-FR" w:val="uk-UA"/>
    </w:rPr>
  </w:style>
  <w:style w:type="paragraph" w:styleId="Основнойтекст2">
    <w:name w:val="Основной текст 2"/>
    <w:basedOn w:val="Обычный"/>
    <w:next w:val="Основнойтекст2"/>
    <w:autoRedefine w:val="0"/>
    <w:hidden w:val="0"/>
    <w:qFormat w:val="0"/>
    <w:pPr>
      <w:suppressAutoHyphens w:val="1"/>
      <w:spacing w:after="120" w:line="480" w:lineRule="auto"/>
      <w:ind w:leftChars="-1" w:rightChars="0" w:firstLineChars="-1"/>
      <w:textDirection w:val="btLr"/>
      <w:textAlignment w:val="top"/>
      <w:outlineLvl w:val="0"/>
    </w:pPr>
    <w:rPr>
      <w:rFonts w:ascii="Arial" w:cs="Times New Roman" w:hAnsi="Arial"/>
      <w:color w:val="000000"/>
      <w:w w:val="100"/>
      <w:position w:val="-1"/>
      <w:sz w:val="20"/>
      <w:szCs w:val="20"/>
      <w:effect w:val="none"/>
      <w:vertAlign w:val="baseline"/>
      <w:cs w:val="0"/>
      <w:em w:val="none"/>
      <w:lang w:bidi="ar-SA" w:eastAsia="en-US" w:val="en-US"/>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rFonts w:ascii="Arial" w:cs="Times New Roman" w:hAnsi="Arial"/>
      <w:color w:val="000000"/>
      <w:w w:val="100"/>
      <w:position w:val="-1"/>
      <w:sz w:val="24"/>
      <w:szCs w:val="24"/>
      <w:effect w:val="none"/>
      <w:vertAlign w:val="baseline"/>
      <w:cs w:val="0"/>
      <w:em w:val="none"/>
      <w:lang w:bidi="ar-SA" w:eastAsia="fr-FR" w:val="uk-UA"/>
    </w:r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fr-FR" w:val="fr-FR"/>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fr-FR" w:val="uk-UA"/>
    </w:rPr>
  </w:style>
  <w:style w:type="character" w:styleId="Знакпримечания">
    <w:name w:val="Знак примечания"/>
    <w:next w:val="Знакпримечания"/>
    <w:autoRedefine w:val="0"/>
    <w:hidden w:val="0"/>
    <w:qFormat w:val="0"/>
    <w:rPr>
      <w:w w:val="100"/>
      <w:position w:val="-1"/>
      <w:sz w:val="16"/>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tblPr>
      <w:tblStyle w:val="Сеткатаблицы"/>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color w:val="000000"/>
      <w:w w:val="100"/>
      <w:position w:val="-1"/>
      <w:sz w:val="16"/>
      <w:szCs w:val="16"/>
      <w:effect w:val="none"/>
      <w:vertAlign w:val="baseline"/>
      <w:cs w:val="0"/>
      <w:em w:val="none"/>
      <w:lang w:bidi="ar-SA" w:eastAsia="fr-FR" w:val="uk-UA"/>
    </w:rPr>
  </w:style>
  <w:style w:type="character" w:styleId="Строгий">
    <w:name w:val="Строгий"/>
    <w:next w:val="Строгий"/>
    <w:autoRedefine w:val="0"/>
    <w:hidden w:val="0"/>
    <w:qFormat w:val="0"/>
    <w:rPr>
      <w:b w:val="1"/>
      <w:w w:val="100"/>
      <w:position w:val="-1"/>
      <w:effect w:val="none"/>
      <w:vertAlign w:val="baseline"/>
      <w:cs w:val="0"/>
      <w:em w:val="none"/>
      <w:lang/>
    </w:rPr>
  </w:style>
  <w:style w:type="character" w:styleId="ОсновнойтекстЗнак">
    <w:name w:val="Основной текст Знак"/>
    <w:next w:val="ОсновнойтекстЗнак"/>
    <w:autoRedefine w:val="0"/>
    <w:hidden w:val="0"/>
    <w:qFormat w:val="0"/>
    <w:rPr>
      <w:rFonts w:ascii="Arial" w:hAnsi="Arial"/>
      <w:color w:val="000000"/>
      <w:w w:val="100"/>
      <w:position w:val="-1"/>
      <w:sz w:val="24"/>
      <w:effect w:val="none"/>
      <w:vertAlign w:val="baseline"/>
      <w:cs w:val="0"/>
      <w:em w:val="none"/>
      <w:lang w:eastAsia="fr-FR" w:val="uk-UA"/>
    </w:rPr>
  </w:style>
  <w:style w:type="character" w:styleId="НижнийколонтитулЗнак">
    <w:name w:val="Нижний колонтитул Знак"/>
    <w:next w:val="НижнийколонтитулЗнак"/>
    <w:autoRedefine w:val="0"/>
    <w:hidden w:val="0"/>
    <w:qFormat w:val="0"/>
    <w:rPr>
      <w:rFonts w:ascii="Arial" w:hAnsi="Arial"/>
      <w:color w:val="000000"/>
      <w:w w:val="100"/>
      <w:position w:val="-1"/>
      <w:sz w:val="24"/>
      <w:effect w:val="none"/>
      <w:vertAlign w:val="baseline"/>
      <w:cs w:val="0"/>
      <w:em w:val="none"/>
      <w:lang w:eastAsia="fr-FR" w:val="uk-UA"/>
    </w:rPr>
  </w:style>
  <w:style w:type="character" w:styleId="Основнойтекст2Знак">
    <w:name w:val="Основной текст 2 Знак"/>
    <w:next w:val="Основнойтекст2Знак"/>
    <w:autoRedefine w:val="0"/>
    <w:hidden w:val="0"/>
    <w:qFormat w:val="0"/>
    <w:rPr>
      <w:rFonts w:ascii="Arial" w:hAnsi="Arial"/>
      <w:color w:val="000000"/>
      <w:w w:val="100"/>
      <w:position w:val="-1"/>
      <w:effect w:val="none"/>
      <w:vertAlign w:val="baseline"/>
      <w:cs w:val="0"/>
      <w:em w:val="none"/>
      <w:lang w:eastAsia="en-US" w:val="en-US"/>
    </w:rPr>
  </w:style>
  <w:style w:type="paragraph" w:styleId="Текстпримечания">
    <w:name w:val="Текст примечания"/>
    <w:basedOn w:val="Обычный"/>
    <w:next w:val="Текстпримечания"/>
    <w:autoRedefine w:val="0"/>
    <w:hidden w:val="0"/>
    <w:qFormat w:val="0"/>
    <w:pPr>
      <w:suppressAutoHyphens w:val="1"/>
      <w:spacing w:line="1" w:lineRule="atLeast"/>
      <w:ind w:leftChars="-1" w:rightChars="0" w:firstLineChars="-1"/>
      <w:textDirection w:val="btLr"/>
      <w:textAlignment w:val="top"/>
      <w:outlineLvl w:val="0"/>
    </w:pPr>
    <w:rPr>
      <w:rFonts w:ascii="Arial" w:cs="Times New Roman" w:hAnsi="Arial"/>
      <w:color w:val="000000"/>
      <w:w w:val="100"/>
      <w:position w:val="-1"/>
      <w:sz w:val="20"/>
      <w:szCs w:val="20"/>
      <w:effect w:val="none"/>
      <w:vertAlign w:val="baseline"/>
      <w:cs w:val="0"/>
      <w:em w:val="none"/>
      <w:lang w:bidi="ar-SA" w:eastAsia="fr-FR" w:val="uk-UA"/>
    </w:rPr>
  </w:style>
  <w:style w:type="character" w:styleId="ТекстпримечанияЗнак">
    <w:name w:val="Текст примечания Знак"/>
    <w:next w:val="ТекстпримечанияЗнак"/>
    <w:autoRedefine w:val="0"/>
    <w:hidden w:val="0"/>
    <w:qFormat w:val="0"/>
    <w:rPr>
      <w:rFonts w:ascii="Arial" w:hAnsi="Arial"/>
      <w:color w:val="000000"/>
      <w:w w:val="100"/>
      <w:position w:val="-1"/>
      <w:effect w:val="none"/>
      <w:vertAlign w:val="baseline"/>
      <w:cs w:val="0"/>
      <w:em w:val="none"/>
      <w:lang w:eastAsia="fr-FR" w:val="uk-UA"/>
    </w:rPr>
  </w:style>
  <w:style w:type="paragraph" w:styleId="Темапримечания">
    <w:name w:val="Тема примечания"/>
    <w:basedOn w:val="Текстпримечания"/>
    <w:next w:val="Текстпримечания"/>
    <w:autoRedefine w:val="0"/>
    <w:hidden w:val="0"/>
    <w:qFormat w:val="0"/>
    <w:pPr>
      <w:suppressAutoHyphens w:val="1"/>
      <w:spacing w:line="1" w:lineRule="atLeast"/>
      <w:ind w:leftChars="-1" w:rightChars="0" w:firstLineChars="-1"/>
      <w:textDirection w:val="btLr"/>
      <w:textAlignment w:val="top"/>
      <w:outlineLvl w:val="0"/>
    </w:pPr>
    <w:rPr>
      <w:rFonts w:ascii="Arial" w:cs="Times New Roman" w:hAnsi="Arial"/>
      <w:b w:val="1"/>
      <w:bCs w:val="1"/>
      <w:color w:val="000000"/>
      <w:w w:val="100"/>
      <w:position w:val="-1"/>
      <w:sz w:val="20"/>
      <w:szCs w:val="20"/>
      <w:effect w:val="none"/>
      <w:vertAlign w:val="baseline"/>
      <w:cs w:val="0"/>
      <w:em w:val="none"/>
      <w:lang w:bidi="ar-SA" w:eastAsia="fr-FR" w:val="uk-UA"/>
    </w:rPr>
  </w:style>
  <w:style w:type="character" w:styleId="ТемапримечанияЗнак">
    <w:name w:val="Тема примечания Знак"/>
    <w:next w:val="ТемапримечанияЗнак"/>
    <w:autoRedefine w:val="0"/>
    <w:hidden w:val="0"/>
    <w:qFormat w:val="0"/>
    <w:rPr>
      <w:rFonts w:ascii="Arial" w:hAnsi="Arial"/>
      <w:b w:val="1"/>
      <w:color w:val="000000"/>
      <w:w w:val="100"/>
      <w:position w:val="-1"/>
      <w:effect w:val="none"/>
      <w:vertAlign w:val="baseline"/>
      <w:cs w:val="0"/>
      <w:em w:val="none"/>
      <w:lang w:eastAsia="fr-FR" w:val="uk-UA"/>
    </w:rPr>
  </w:style>
  <w:style w:type="paragraph" w:styleId="ListParagraph">
    <w:name w:val="List Paragraph"/>
    <w:basedOn w:val="Обычный"/>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cs="Times New Roman" w:hAnsi="Times New Roman"/>
      <w:color w:val="auto"/>
      <w:w w:val="100"/>
      <w:position w:val="-1"/>
      <w:sz w:val="24"/>
      <w:szCs w:val="24"/>
      <w:effect w:val="none"/>
      <w:vertAlign w:val="baseline"/>
      <w:cs w:val="0"/>
      <w:em w:val="none"/>
      <w:lang w:bidi="ar-SA" w:eastAsia="ru-RU" w:val="ru-RU"/>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fr-FR" w:val="uk-UA"/>
    </w:rPr>
  </w:style>
  <w:style w:type="character" w:styleId="ВерхнийколонтитулЗнак">
    <w:name w:val="Верхний колонтитул Знак"/>
    <w:next w:val="ВерхнийколонтитулЗнак"/>
    <w:autoRedefine w:val="0"/>
    <w:hidden w:val="0"/>
    <w:qFormat w:val="0"/>
    <w:rPr>
      <w:rFonts w:ascii="Arial" w:cs="Arial" w:hAnsi="Arial"/>
      <w:color w:val="000000"/>
      <w:w w:val="100"/>
      <w:position w:val="-1"/>
      <w:sz w:val="24"/>
      <w:szCs w:val="24"/>
      <w:effect w:val="none"/>
      <w:vertAlign w:val="baseline"/>
      <w:cs w:val="0"/>
      <w:em w:val="none"/>
      <w:lang w:eastAsia="fr-FR" w:val="uk-UA"/>
    </w:rPr>
  </w:style>
  <w:style w:type="character" w:styleId="Основнойтекст3Знак">
    <w:name w:val="Основной текст 3 Знак"/>
    <w:next w:val="Основнойтекст3Знак"/>
    <w:autoRedefine w:val="0"/>
    <w:hidden w:val="0"/>
    <w:qFormat w:val="0"/>
    <w:rPr>
      <w:rFonts w:ascii="Arial" w:cs="Arial" w:hAnsi="Arial"/>
      <w:color w:val="000000"/>
      <w:w w:val="100"/>
      <w:position w:val="-1"/>
      <w:sz w:val="16"/>
      <w:effect w:val="none"/>
      <w:vertAlign w:val="baseline"/>
      <w:cs w:val="0"/>
      <w:em w:val="none"/>
      <w:lang w:eastAsia="en-US" w:val="en-US"/>
    </w:rPr>
  </w:style>
  <w:style w:type="paragraph" w:styleId="Абзацсписка">
    <w:name w:val="Абзац списка"/>
    <w:basedOn w:val="Обычный"/>
    <w:next w:val="Абзацсписка"/>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cs="Times New Roman" w:hAnsi="Times New Roman"/>
      <w:color w:val="auto"/>
      <w:w w:val="100"/>
      <w:position w:val="-1"/>
      <w:sz w:val="24"/>
      <w:szCs w:val="24"/>
      <w:effect w:val="none"/>
      <w:vertAlign w:val="baseline"/>
      <w:cs w:val="0"/>
      <w:em w:val="none"/>
      <w:lang w:bidi="ar-SA" w:eastAsia="ru-RU" w:val="ru-RU"/>
    </w:rPr>
  </w:style>
  <w:style w:type="character" w:styleId="fontstyle01">
    <w:name w:val="fontstyle01"/>
    <w:next w:val="fontstyle01"/>
    <w:autoRedefine w:val="0"/>
    <w:hidden w:val="0"/>
    <w:qFormat w:val="0"/>
    <w:rPr>
      <w:rFonts w:ascii="Arial" w:cs="Arial" w:hAnsi="Arial"/>
      <w:b w:val="1"/>
      <w:bCs w:val="1"/>
      <w:color w:val="000000"/>
      <w:w w:val="100"/>
      <w:position w:val="-1"/>
      <w:sz w:val="18"/>
      <w:szCs w:val="18"/>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0"/>
    <w:rPr>
      <w:color w:val="954f72"/>
      <w:w w:val="100"/>
      <w:position w:val="-1"/>
      <w:u w:val="single"/>
      <w:effect w:val="none"/>
      <w:vertAlign w:val="baseline"/>
      <w:cs w:val="0"/>
      <w:em w:val="none"/>
      <w:lang/>
    </w:rPr>
  </w:style>
  <w:style w:type="paragraph" w:styleId="Рецензия">
    <w:name w:val="Рецензия"/>
    <w:next w:val="Рецензия"/>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fr-FR" w:val="uk-UA"/>
    </w:rPr>
  </w:style>
  <w:style w:type="paragraph" w:styleId="Style6">
    <w:name w:val="Style6"/>
    <w:basedOn w:val="Обычный"/>
    <w:next w:val="Style6"/>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ru-RU" w:val="ru-RU"/>
    </w:rPr>
  </w:style>
  <w:style w:type="character" w:styleId="cf01">
    <w:name w:val="cf01"/>
    <w:next w:val="cf01"/>
    <w:autoRedefine w:val="0"/>
    <w:hidden w:val="0"/>
    <w:qFormat w:val="0"/>
    <w:rPr>
      <w:rFonts w:ascii="Segoe UI" w:cs="Segoe UI" w:hAnsi="Segoe UI" w:hint="default"/>
      <w:w w:val="100"/>
      <w:position w:val="-1"/>
      <w:sz w:val="18"/>
      <w:szCs w:val="18"/>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Незакритазгадка">
    <w:name w:val="Незакрита згадка"/>
    <w:next w:val="Незакритазгадка"/>
    <w:autoRedefine w:val="0"/>
    <w:hidden w:val="0"/>
    <w:qFormat w:val="1"/>
    <w:rPr>
      <w:color w:val="605e5c"/>
      <w:w w:val="100"/>
      <w:position w:val="-1"/>
      <w:effect w:val="none"/>
      <w:shd w:color="auto" w:fill="e1dfdd" w:val="clear"/>
      <w:vertAlign w:val="baseline"/>
      <w:cs w:val="0"/>
      <w:em w:val="none"/>
      <w:lang/>
    </w:rPr>
  </w:style>
  <w:style w:type="character" w:styleId="Основнойтекст(2)_">
    <w:name w:val="Основной текст (2)_"/>
    <w:next w:val="Основнойтекст(2)_"/>
    <w:autoRedefine w:val="0"/>
    <w:hidden w:val="0"/>
    <w:qFormat w:val="0"/>
    <w:rPr>
      <w:b w:val="1"/>
      <w:bCs w:val="1"/>
      <w:w w:val="100"/>
      <w:position w:val="-1"/>
      <w:sz w:val="23"/>
      <w:szCs w:val="23"/>
      <w:effect w:val="none"/>
      <w:shd w:color="auto" w:fill="ffffff" w:val="clear"/>
      <w:vertAlign w:val="baseline"/>
      <w:cs w:val="0"/>
      <w:em w:val="none"/>
      <w:lang/>
    </w:rPr>
  </w:style>
  <w:style w:type="paragraph" w:styleId="Основнойтекст(2)">
    <w:name w:val="Основной текст (2)"/>
    <w:basedOn w:val="Обычный"/>
    <w:next w:val="Основнойтекст(2)"/>
    <w:autoRedefine w:val="0"/>
    <w:hidden w:val="0"/>
    <w:qFormat w:val="0"/>
    <w:pPr>
      <w:widowControl w:val="0"/>
      <w:shd w:color="auto" w:fill="ffffff" w:val="clear"/>
      <w:suppressAutoHyphens w:val="1"/>
      <w:spacing w:after="60" w:line="240" w:lineRule="atLeast"/>
      <w:ind w:leftChars="-1" w:rightChars="0" w:firstLineChars="-1"/>
      <w:jc w:val="center"/>
      <w:textDirection w:val="btLr"/>
      <w:textAlignment w:val="top"/>
      <w:outlineLvl w:val="0"/>
    </w:pPr>
    <w:rPr>
      <w:rFonts w:ascii="Times New Roman" w:cs="Times New Roman" w:hAnsi="Times New Roman"/>
      <w:b w:val="1"/>
      <w:bCs w:val="1"/>
      <w:color w:val="auto"/>
      <w:w w:val="100"/>
      <w:position w:val="-1"/>
      <w:sz w:val="23"/>
      <w:szCs w:val="23"/>
      <w:effect w:val="none"/>
      <w:vertAlign w:val="baseline"/>
      <w:cs w:val="0"/>
      <w:em w:val="none"/>
      <w:lang w:bidi="ar-SA" w:eastAsia="uk-UA" w:val="uk-UA"/>
    </w:rPr>
  </w:style>
  <w:style w:type="paragraph" w:styleId="Безинтервала">
    <w:name w:val="Без интервала"/>
    <w:next w:val="Безинтервала"/>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les@7metal.com.u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KRnPKwkFdQloim2GtI9IOz2Jw==">CgMxLjAyDmguOTd6Ym41OXM5amY0OAByITFya0Z1RVcwZThHVkFncFhmTnJJUkZHcTJhNUM1OGd4cg==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2025-10-07T09:21:00Z</dcterms:created>
  <dc:creator>Derkach</dc:creator>
</cp:coreProperties>
</file>