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360"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2">
      <w:pPr>
        <w:spacing w:after="0" w:lineRule="auto"/>
        <w:ind w:left="36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ДОГОВІР ПРО ПЕРЕРОБКУ ДАВАЛЬНИЦЬКОЇ СИРОВИНИ</w:t>
      </w:r>
    </w:p>
    <w:p w:rsidR="00000000" w:rsidDel="00000000" w:rsidP="00000000" w:rsidRDefault="00000000" w:rsidRPr="00000000" w14:paraId="00000003">
      <w:pPr>
        <w:spacing w:after="0" w:lineRule="auto"/>
        <w:rPr>
          <w:rFonts w:ascii="Times New Roman" w:cs="Times New Roman" w:eastAsia="Times New Roman" w:hAnsi="Times New Roman"/>
          <w:b w:val="1"/>
          <w:bCs w:val="1"/>
          <w:sz w:val="28"/>
          <w:szCs w:val="28"/>
        </w:rPr>
      </w:pPr>
      <w:bookmarkStart w:colFirst="0" w:colLast="0" w:name="_heading=h.lr5ex9d86qbg" w:id="0"/>
      <w:bookmarkEnd w:id="0"/>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Цей договір є офертою (пропозицією) Виконавця необмеженому колу фізичних та юридичних осіб (надалі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«Замовник»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виконання робіт з переробки давальницької сировини на умовах, визначених цим Договором.</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Визначення термінів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цьому Договорі наведені нижче терміни вживаються у наступних значеннях:</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Акцепт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повна й безумовна згода Замовника укласти договір, що робить договір укладеним.</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Виконавець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ТОВАРИСТВО З ОБМЕЖЕНОЮ ВІДПОВІДАЛЬНІСТЮ "СЕВЕН МІТАЛ", код ЄДРПОУ 45444600, Україна, 03110, місто Київ, вул. Кочура Григорія, будинок 19, корпус 3, кімната 11, ІПН 454446026580.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Конфіденційна інформація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вся конфіденційна інформація, яку Сторона прямо чи опосередковано розкриває або робить доступною іншій Стороні, включаючи будь-яку інформацію, яка спеціально описана як конфіденційна Стороною, що її розкриває, та всю інформацію, що стосується бізнесу, інтересів, планів, намірів, цілей, фінансів, технічної інформації, даних, аналізу, адміністративних справ, особистих справ, операцій, процесів, політики, ноу-хау, персоналу, інформації про продукти або послуги, постачальників, дистриб'юторів, агентів, комерційної таємниці, дизайну, інтелектуальної власності (наприклад, торгових марок, авторських прав і патентів), а також будь-якої іншої інформації, яка обґрунтовано вважається конфіденційною Стороною, що розкриває інформацію.</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Роботи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комплекс робіт, що включає в себе (1) зобов’язання на переробку давальницької сировини за індивідуальним замовленням, (2) передати Замовнику у власність Готову продукцію.</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Давальницька сировина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сировина, матеріали, напівфабрикати, комплектуючі вироби, з яких виготовляється Готова продукція, і які поставляються Замовником та приймаються Виконавцем, відповідно до умов цього Договору.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Готова продукція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означає вказані у виставленому Виконавцем рахунку товарно-матеріальні цінності, виготовлені Виконавцем з наданої Замовником Давальницької сировини, відповідно до замовлень (заявок, технічних завдань тощо) Замовника.</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Пункт Поставки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означає місце, де Виконавець приймає Давальницьку сировину у Замовника для її подальшого переміщення (за необхідності) до Місця здійснення переробки (надання послуг).</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Місце здійснення переробки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виробничі потужності Виконавця, що знаходяться за адресою: 03164, Україна, м. Київ, вул. Олега Мудрака 17.</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Сторона, Сторони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при множинному згадуванні: Замовник та Виконавець; у разі використання в однині: Виконавець або Замовник – в залежності від контексту.</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1. Загальні положення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Цей Договір є договором приєднання в розумінні статті 634 Цивільного кодексу України.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Договір вважається укладеним (та не потребує додаткового двостороннього підписання Сторонами) з моменту акцепту Замовником.</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Акцептом Договору вважається оплата Замовником виставленого Виконавцем рахунку, що є підтвердженням того, що Замовник ознайомлений, погоджується та приймає всі умови цього Договору без будь-яких заперечень.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2. Предмет договору </w:t>
      </w:r>
    </w:p>
    <w:p w:rsidR="00000000" w:rsidDel="00000000" w:rsidP="00000000" w:rsidRDefault="00000000" w:rsidRPr="00000000" w14:paraId="0000002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Замовник доручає, а Виконавець зобов'язується виконати відповідно до умов цього Договору роботи з переробки Давальницької сировини на Готову продукцію і відвантаження Готової продукції Замовнику, а Замовник зобов'язується прийняти Готову продукцію й оплатити роботи з переробки Давальницької сировини.</w:t>
      </w:r>
    </w:p>
    <w:p w:rsidR="00000000" w:rsidDel="00000000" w:rsidP="00000000" w:rsidRDefault="00000000" w:rsidRPr="00000000" w14:paraId="00000023">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Давальницька сировина, Готова продукція та їх обсяг визначаються Сторонами у рахунках.</w:t>
      </w:r>
    </w:p>
    <w:p w:rsidR="00000000" w:rsidDel="00000000" w:rsidP="00000000" w:rsidRDefault="00000000" w:rsidRPr="00000000" w14:paraId="0000002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w:t>
      </w:r>
      <w:r w:rsidDel="00000000" w:rsidR="00000000" w:rsidRPr="00000000">
        <w:rPr>
          <w:rtl w:val="0"/>
        </w:rPr>
        <w:t xml:space="preserve">У</w:t>
      </w:r>
      <w:r w:rsidDel="00000000" w:rsidR="00000000" w:rsidRPr="00000000">
        <w:rPr>
          <w:rFonts w:ascii="Times New Roman" w:cs="Times New Roman" w:eastAsia="Times New Roman" w:hAnsi="Times New Roman"/>
          <w:rtl w:val="0"/>
        </w:rPr>
        <w:t xml:space="preserve">сі витрати, пов’язані з транспортуванням Давальницької сировини до Пункту поставки несе Замовник</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Переміщення між Пунктом поставки та Місцем здійснення переробки здійснюється Виконавцем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За домовленістю Сторін Готова продукція Замовника може бути відвантажена як на експорт, так і на внутрішній ринок України у відповідності до рахунків.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Замовник надсилає Виконавцю на електронну адресу: </w:t>
      </w:r>
      <w:r w:rsidDel="00000000" w:rsidR="00000000" w:rsidRPr="00000000">
        <w:rPr>
          <w:rFonts w:ascii="Times New Roman" w:cs="Times New Roman" w:eastAsia="Times New Roman" w:hAnsi="Times New Roman"/>
          <w:highlight w:val="white"/>
          <w:rtl w:val="0"/>
        </w:rPr>
        <w:t xml:space="preserve">sales@7metal.com.ua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замовлення довільної форми, яке повинно містити: опис, характеристики, необхідну кількість/обсяг та спосіб поставки Готової продукції. Замовником можуть бути вказані додаткові вимоги, яким повинна відповідати Готова продукція. За необхідності (або на окрему вимогу Виконавця), Замовник надає креслення, ескізи, графічне зображення або інше цифрове представлення Готової продукції. На підставі замовлення та викладених в ньому даних Виконавцем готується та виставляється Замовникові рахунок.</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 Виконавець зобов’язується не використовувати надані Замовником файли та інформацію в інших цілях, окрім як для виконання замовлення Замовника.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 Давальницька сировина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Давальницька сировина може надаватись як однією поставкою, на початку процесу переробки, так і рівномірними, періодичними поставками, які забезпечать безперервний процес переробки та виготовлення Готової продукції. Передача Давальницької сировини Виконавцеві оформлюється шляхом підписання Сторонами відповідного Акту приймання-передачі Давальницької сировини в Пункті поставки.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Якість Давальницької сировини повинна відповідати затвердженим державним стандартам та/або технічним умовам.</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Давальницька сировина є власністю Замовника. Виконавець несе повну матеріальну відповідальність за збереження Давальницької сировини в Місці здійснення переробки.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Замовник гарантує, що Давальницька сировина не обтяжена претензіями або вимогами третіх осіб. У разі порушення даної умови, Виконавець звільняється від відповідальності за невиконання або порушення строків виконання робіт по переробці Давальницької сировини.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4. Роботи з переробки давальницької сировини і послуги по відвантаженню готової продукції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Результатом виконаних робіт і наданих послуг за цим Договором є Готова продукція, вироблена на виробничих потужностях Виконавця і прийнята Замовником. Право власності на Готову продукцію належить Замовнику.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Виробництво продукції здійснюється відповідно до нормативно визначених норм витрат сировини та матеріалів на виготовлення Готової продукції.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Виготовлена Виконавцем Готова продукція відвантажується Замовнику згідно погодженому Сторонами графіку відвантажень, а у разі відсутності такого графіку – протягом 5 (п’яти) робочих днів з моменту повідомлення Виконавцем Замовника про завершення виготовлення Готової продукції. Понаднормове зберігання Виконавцем Готової продукції (понад вищезазначений строк в п’ять робочих днів) підлягає оплаті Замовником згідно ставки, обумовленої рахунками до цього Договору.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Факт передачі Готової продукції засвідчується підписанням Сторонами Видаткової накладної, яка оформлюється Виконавцем та передається на підпис Замовникові протягом 2 (двох) днів з моменту повідомлення Виконавцем Замовника про завершення виготовлення Готової продукції.</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Протягом 2 (двох) робочих днів з моменту отримання від Виконавця підписаної з боку останнього Видаткової накладної, Замовник зі свого боку підписує обидва примірники накладної та одну з них повертає Виконавцеві, і організовує вивезення/приймання Готової продукції. У разі наявності обґрунтованих зауважень, Замовник у відведений йому дводенний строк надає мотивовану відмову від підписання накладної. У разі неотримання Виконавцем протягом вищевказаного строку підписаного Замовником Видаткової накладної або мотивованої відмови, роботи та послуги вважаються наданими Виконавцем та прийнятими Замовником в повному обсязі та без зауважень. Одночасно з цим, Виконавець набуває право притримання Готової продукції до моменту підписання Замовником Видаткової накладної.</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Послуги зі зберігання Готової продукції (у разі їх надання) оформлюються окремою видатковою накладною, яка надається Замовникові разом з рахунком на оплату послуг з понаднормового зберігання.</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5. Порядок оплати</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Якщо інший порядок оплати не передбачений відповідним рахунком, оплата здійснюється у розмірі 100% передплати від вартості, зазначеної у рахунку, шляхом перерахування грошових коштів на поточний рахунок Виконавця. Оплата послуг за понаднормове зберігання здійснюється на підставі окремого рахунку, по факту надання таких послуг, протягом 3 (трьох) днів з моменту виставлення такого рахунку Виконавцем.</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Вартість робіт по переробці Давальницької сировини в одну одиницю Готової продукції і послуг з відвантаження однієї одиниці Готової продукції визначається відповідним рахунком до Договору.</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Датою оплати вважається дата зарахування коштів на поточний рахунок Виконавця.</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6. Права та обов’язки сторін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Замовник має право: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отримувати повну та достовірну інформацію про обсяг виконаних Робіт, а також роз’яснення з питань, що виникають у нього в зв’язку з виконанням Робіт.</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Виконавець має право:</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отримувати від Замовника інформацію, необхідну для виконання Робіт.</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 Замовник зобов’язується:</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самостійно ознайомитись з умовами угоди, розміщеної на сайті Виконавця.</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здійснити оплату Виконавцю в сумах, які обумовлені в рахунках та термінах, зазначених в ньому.</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надавати достовірну та повну інформацію, необхідну для виконання Договору.</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 Виконавець зобов’язується:</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виготовити та поставити Продукцію, в якості та термінах, обумовлених в рахунках.</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надати Замовнику разом з Продукцією супровідну документацію: рахунок-фактуру, видаткову накладну, оформлені українською мовою, та інші документи, які мають відношення до продукції і належать до передачі разом з продукцією, відповідно до чинного законодавства України.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виконувати Роботи особисто та/або з залученням третіх осіб, залишаючись при цьому відповідальним в повному обсязі перед Замовником за результати Робіт.</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7. Відповідальність сторін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За несвоєчасне або неналежне виконання своїх зобов’язань, винна сторона сплачує за вимогою сторони, що постраждала, пеню у розмірі двійної облікової ставки НБУ від суми невиконаних зобов’язань за кожний день прострочення, але не більше 10% від вартісної оцінки цих зобов’язань.</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Виплата пені будь-якою із сторін за прострочення виконання своїх зобов’язань не позбавляє цю сторону від виконання зобов’язань згідно цього Договору.</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 У всіх інших випадках, не передбачених цим Договором та Рахунками до нього, Сторони несуть відповідальність, згідно з чинним законодавством України.</w:t>
      </w:r>
    </w:p>
    <w:p w:rsidR="00000000" w:rsidDel="00000000" w:rsidP="00000000" w:rsidRDefault="00000000" w:rsidRPr="00000000" w14:paraId="0000004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Замовник гарантує якість та придатність Давальницької сировини для переробки в Готову продукцію. Виконавець звільняється від будь-якої відповідальності за невиконання цього Договору, якщо воно сталося внаслідок порушення вищевказаної гарантії. Додатково Замовник відшкодовує Виконавцеві всі витрати та збитки, заподіяні порушенням такої гарантії.</w:t>
      </w:r>
    </w:p>
    <w:p w:rsidR="00000000" w:rsidDel="00000000" w:rsidP="00000000" w:rsidRDefault="00000000" w:rsidRPr="00000000" w14:paraId="0000004F">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8. Форс-мажорні обставини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 Сторони погодилися, що у разі виникнення обставин непереборної сили, а саме: війни, військових дій, блокади, ембарго, валютних обмежень, змін у законодавстві Сторони, яка повинна виконати зобов’язання, які унеможливлюють виконання Стороною своїх зобов’язань за даним договором, пожеж, повеней, іншого стихійного лиха чи природних явищ, та безпосередньої дії таких обставин на Сторону, яка повинна виконати зобов’язання, Сторона звільняється від виконання своїх зобов’язань на час дії зазначених обставин. У разі коли дія зазначених обставин триває більш як 90 днів, кожна із Сторін має право на розірвання Договору і не несе відповідальності за таке розірвання за умови, що вона повідомить про це іншу Сторону не пізніш як за 30 днів до розірвання. Достатнім доказом дії таких обставин та терміну дії є сертифікат, виданий Торгово-промисловою палатою України.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З метою уникнення колізій у трактуванні положень даного розділу Договору, Сторони погодили, що факт введення та існування на момент укладання цього Договору воєнного стану в Україні, сам по собі не є форс-мажорною обставиною.</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9. Конфіденційність</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 Інформація щодо предмету, змісту та умов цього Договору, а також будь-яка інформація про іншу Сторону, яка стане відома Сторонам у зв’язку з виконанням цього Договору і яка може в разі розголошення такої інформації, завдати шкоди будь-якій із Сторін, вважається конфіденційною.</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 Протягом строку дії цього Договору та три роки після його завершення Сторони або їх представники зобов’язуються не розголошувати конфіденційну інформацію без письмової згоди на це іншої Сторони за виключенням випадків, передбачених чинним законодавством України. Сторона, що розкрила конфіденційну інформацію на підставі вимог закону зобов’язується негайно повідомити про таке розкриття іншу сторону.</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 Замовник має право надавати копію цього Договору, а також первинні документи (або їх копії), складені на його виконання, податковим та іншим органам виконавчої влади, контролюючим компаніям, банківським, аудиторським та іншим установам, що здійснюють аудит чи оцінку діяльності Замовника.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10. Вирішення спорів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 Усі спори та розбіжності, що виникають з цього Договору, вирішуються шляхом переговорів.</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 Якщо спір не може бути вирішений шляхом переговорів, він передається на розгляд суду за місцезнаходженням Виконавця.</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11. Інші умови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 Замовнику забороняється передавати будь-які свої права або обов’язки за цим Договором, за винятком випадків, коли на це отримана згода Виконавця.</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11.2. Виконавець залишає за собою право в односторонньому порядку вносити зміни до цього Договору, які набувають чинності з моменту їх публікації на сайті. Оплата нового рахунку після зміни умов означає, що Замовник погоджується з новими умовами. Замовлення, прийняті до виконання до запровадження нових умов, виконуються відповідно до умов, які діяли станом на дату здійснення Замовником оплати.</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 Сторонами обумовлено обмін документів з використанням електронної пошти, для чого ними використовуються наступні електронні адреси: з боку Виконавця – електронна адреса вказана, в п.2.5 цього Договору, з боку Замовника – електронна адреса, з якої було відправлено замовлення (представлення Готової продукції), згідно п. 2.5 цього Договору. Сторони підтверджують, що документи, передані в рамках цього Договору по електронній пошті матимуть юридичну силу до моменту обміну оригіналами, породжують права і обов’язки для Сторін, можуть бути подані до судових органів в якості належних доказів за умови, що такі документи відправлені з електронної адреси/отримані на електронну адресу, які вказані в цьому пункті Договору. В такому разі надіслані документи вважаються одержаними адресатом з моменту надсилання, якщо відправник не отримає автоматичне повідомлення про те, що такий документ не надіслано/не доставлено. У разі надсилання вказаного документу з іншої електронної адреси/на іншу електронну адресу, ніж вказані у відповідному документі, такий документ вважається одержаним з моменту отримання відповідного підтвердження Сторони-адресата про таке отримання.</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11.4. Номером Договору Виконавця з конкретним Замовником вважатиметься номер рахунку, виставленого Виконавцем такому Замовнику. Всі документи, які укладатимуться Сторонами на виконання відповідного замовлення, повинні містити посилання на номер такого рахунку.</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11.5. Строком дії Договору в кожному окремому випадку вважатиметься строк виконання окремого замовлення.</w:t>
      </w:r>
    </w:p>
    <w:p w:rsidR="00000000" w:rsidDel="00000000" w:rsidP="00000000" w:rsidRDefault="00000000" w:rsidRPr="00000000" w14:paraId="00000063">
      <w:pPr>
        <w:spacing w:line="276" w:lineRule="auto"/>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6838" w:w="11906" w:orient="portrait"/>
      <w:pgMar w:bottom="850" w:top="850" w:left="1417" w:right="850" w:header="708" w:footer="4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Редакція від </w:t>
    </w:r>
    <w:r w:rsidDel="00000000" w:rsidR="00000000" w:rsidRPr="00000000">
      <w:rPr>
        <w:rFonts w:ascii="Calibri" w:cs="Calibri" w:eastAsia="Calibri" w:hAnsi="Calibri"/>
        <w:i w:val="1"/>
        <w:iCs w:val="1"/>
        <w:sz w:val="22"/>
        <w:szCs w:val="22"/>
        <w:rtl w:val="0"/>
      </w:rPr>
      <w:t xml:space="preserve">17</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i w:val="1"/>
        <w:iCs w:val="1"/>
        <w:sz w:val="22"/>
        <w:szCs w:val="22"/>
        <w:rtl w:val="0"/>
      </w:rPr>
      <w:t xml:space="preserve">02</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.202</w:t>
    </w:r>
    <w:r w:rsidDel="00000000" w:rsidR="00000000" w:rsidRPr="00000000">
      <w:rPr>
        <w:rFonts w:ascii="Calibri" w:cs="Calibri" w:eastAsia="Calibri" w:hAnsi="Calibri"/>
        <w:i w:val="1"/>
        <w:iCs w:val="1"/>
        <w:sz w:val="22"/>
        <w:szCs w:val="22"/>
        <w:highlight w:val="white"/>
        <w:rtl w:val="0"/>
      </w:rPr>
      <w:t xml:space="preserve">6</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р.</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uk"/>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360" w:lineRule="auto"/>
      <w:jc w:val="center"/>
    </w:pPr>
    <w:rPr>
      <w:rFonts w:ascii="Times New Roman" w:cs="Times New Roman" w:eastAsia="Times New Roman" w:hAnsi="Times New Roman"/>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99"/>
    <w:qFormat w:val="1"/>
    <w:rsid w:val="00043D40"/>
    <w:pPr>
      <w:suppressAutoHyphens w:val="1"/>
      <w:spacing w:after="0" w:line="240" w:lineRule="auto"/>
    </w:pPr>
    <w:rPr>
      <w:rFonts w:ascii="Times New Roman" w:cs="Times New Roman" w:eastAsia="Times New Roman" w:hAnsi="Times New Roman"/>
      <w:sz w:val="24"/>
      <w:szCs w:val="24"/>
      <w:lang w:eastAsia="ar-SA"/>
    </w:rPr>
  </w:style>
  <w:style w:type="character" w:styleId="10" w:customStyle="1">
    <w:name w:val="Заголовок 1 Знак"/>
    <w:basedOn w:val="a0"/>
    <w:link w:val="1"/>
    <w:rsid w:val="008A6CB4"/>
    <w:rPr>
      <w:rFonts w:ascii="Times New Roman" w:cs="Times New Roman" w:hAnsi="Times New Roman"/>
      <w:b w:val="1"/>
      <w:sz w:val="24"/>
      <w:szCs w:val="20"/>
      <w:lang w:eastAsia="en-GB" w:val="en-GB"/>
    </w:rPr>
  </w:style>
  <w:style w:type="character" w:styleId="BodyChar" w:customStyle="1">
    <w:name w:val="Body Char"/>
    <w:uiPriority w:val="99"/>
    <w:rsid w:val="008A6CB4"/>
    <w:rPr>
      <w:rFonts w:ascii="Arial" w:hAnsi="Arial"/>
      <w:kern w:val="20"/>
      <w:sz w:val="20"/>
      <w:lang w:val="en-GB"/>
    </w:rPr>
  </w:style>
  <w:style w:type="character" w:styleId="FontStyle43" w:customStyle="1">
    <w:name w:val="Font Style43"/>
    <w:uiPriority w:val="99"/>
    <w:rsid w:val="008A6CB4"/>
    <w:rPr>
      <w:rFonts w:ascii="Times New Roman" w:hAnsi="Times New Roman"/>
      <w:sz w:val="22"/>
    </w:rPr>
  </w:style>
  <w:style w:type="paragraph" w:styleId="a4">
    <w:name w:val="Balloon Text"/>
    <w:basedOn w:val="a"/>
    <w:link w:val="a5"/>
    <w:uiPriority w:val="99"/>
    <w:semiHidden w:val="1"/>
    <w:unhideWhenUsed w:val="1"/>
    <w:rsid w:val="009C56A8"/>
    <w:pPr>
      <w:spacing w:after="0"/>
    </w:pPr>
    <w:rPr>
      <w:rFonts w:ascii="Tahoma" w:cs="Tahoma" w:hAnsi="Tahoma"/>
      <w:sz w:val="16"/>
      <w:szCs w:val="16"/>
    </w:rPr>
  </w:style>
  <w:style w:type="character" w:styleId="a5" w:customStyle="1">
    <w:name w:val="Текст выноски Знак"/>
    <w:basedOn w:val="a0"/>
    <w:link w:val="a4"/>
    <w:uiPriority w:val="99"/>
    <w:semiHidden w:val="1"/>
    <w:rsid w:val="009C56A8"/>
    <w:rPr>
      <w:rFonts w:ascii="Tahoma" w:cs="Tahoma" w:hAnsi="Tahoma"/>
      <w:sz w:val="16"/>
      <w:szCs w:val="16"/>
    </w:rPr>
  </w:style>
  <w:style w:type="paragraph" w:styleId="a6">
    <w:name w:val="header"/>
    <w:basedOn w:val="a"/>
    <w:link w:val="a7"/>
    <w:uiPriority w:val="99"/>
    <w:unhideWhenUsed w:val="1"/>
    <w:rsid w:val="000751F7"/>
    <w:pPr>
      <w:tabs>
        <w:tab w:val="center" w:pos="4677"/>
        <w:tab w:val="right" w:pos="9355"/>
      </w:tabs>
      <w:spacing w:after="0"/>
    </w:pPr>
  </w:style>
  <w:style w:type="character" w:styleId="a7" w:customStyle="1">
    <w:name w:val="Верхний колонтитул Знак"/>
    <w:basedOn w:val="a0"/>
    <w:link w:val="a6"/>
    <w:uiPriority w:val="99"/>
    <w:rsid w:val="000751F7"/>
    <w:rPr>
      <w:rFonts w:ascii="Cambria" w:cs="Times New Roman" w:hAnsi="Cambria"/>
      <w:sz w:val="24"/>
      <w:szCs w:val="24"/>
    </w:rPr>
  </w:style>
  <w:style w:type="paragraph" w:styleId="a8">
    <w:name w:val="footer"/>
    <w:basedOn w:val="a"/>
    <w:link w:val="a9"/>
    <w:uiPriority w:val="99"/>
    <w:unhideWhenUsed w:val="1"/>
    <w:rsid w:val="000751F7"/>
    <w:pPr>
      <w:tabs>
        <w:tab w:val="center" w:pos="4677"/>
        <w:tab w:val="right" w:pos="9355"/>
      </w:tabs>
      <w:spacing w:after="0"/>
    </w:pPr>
  </w:style>
  <w:style w:type="character" w:styleId="a9" w:customStyle="1">
    <w:name w:val="Нижний колонтитул Знак"/>
    <w:basedOn w:val="a0"/>
    <w:link w:val="a8"/>
    <w:uiPriority w:val="99"/>
    <w:rsid w:val="000751F7"/>
    <w:rPr>
      <w:rFonts w:ascii="Cambria" w:cs="Times New Roman" w:hAnsi="Cambria"/>
      <w:sz w:val="24"/>
      <w:szCs w:val="24"/>
    </w:rPr>
  </w:style>
  <w:style w:type="character" w:styleId="aa">
    <w:name w:val="annotation reference"/>
    <w:basedOn w:val="a0"/>
    <w:uiPriority w:val="99"/>
    <w:semiHidden w:val="1"/>
    <w:unhideWhenUsed w:val="1"/>
    <w:rsid w:val="00DB0826"/>
    <w:rPr>
      <w:sz w:val="16"/>
      <w:szCs w:val="16"/>
    </w:rPr>
  </w:style>
  <w:style w:type="paragraph" w:styleId="ab">
    <w:name w:val="annotation text"/>
    <w:basedOn w:val="a"/>
    <w:link w:val="ac"/>
    <w:uiPriority w:val="99"/>
    <w:semiHidden w:val="1"/>
    <w:unhideWhenUsed w:val="1"/>
    <w:rsid w:val="00DB0826"/>
    <w:rPr>
      <w:sz w:val="20"/>
      <w:szCs w:val="20"/>
    </w:rPr>
  </w:style>
  <w:style w:type="character" w:styleId="ac" w:customStyle="1">
    <w:name w:val="Текст примечания Знак"/>
    <w:basedOn w:val="a0"/>
    <w:link w:val="ab"/>
    <w:uiPriority w:val="99"/>
    <w:semiHidden w:val="1"/>
    <w:rsid w:val="00DB0826"/>
    <w:rPr>
      <w:rFonts w:ascii="Cambria" w:cs="Times New Roman" w:hAnsi="Cambria"/>
      <w:sz w:val="20"/>
      <w:szCs w:val="20"/>
    </w:rPr>
  </w:style>
  <w:style w:type="paragraph" w:styleId="ad">
    <w:name w:val="annotation subject"/>
    <w:basedOn w:val="ab"/>
    <w:next w:val="ab"/>
    <w:link w:val="ae"/>
    <w:uiPriority w:val="99"/>
    <w:semiHidden w:val="1"/>
    <w:unhideWhenUsed w:val="1"/>
    <w:rsid w:val="00DB0826"/>
    <w:rPr>
      <w:b w:val="1"/>
      <w:bCs w:val="1"/>
    </w:rPr>
  </w:style>
  <w:style w:type="character" w:styleId="ae" w:customStyle="1">
    <w:name w:val="Тема примечания Знак"/>
    <w:basedOn w:val="ac"/>
    <w:link w:val="ad"/>
    <w:uiPriority w:val="99"/>
    <w:semiHidden w:val="1"/>
    <w:rsid w:val="00DB0826"/>
    <w:rPr>
      <w:rFonts w:ascii="Cambria" w:cs="Times New Roman" w:hAnsi="Cambria"/>
      <w:b w:val="1"/>
      <w:bCs w:val="1"/>
      <w:sz w:val="20"/>
      <w:szCs w:val="20"/>
    </w:rPr>
  </w:style>
  <w:style w:type="paragraph" w:styleId="HTML">
    <w:name w:val="HTML Preformatted"/>
    <w:basedOn w:val="a"/>
    <w:link w:val="HTML0"/>
    <w:uiPriority w:val="99"/>
    <w:semiHidden w:val="1"/>
    <w:unhideWhenUsed w:val="1"/>
    <w:rsid w:val="00BC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cs="Courier New" w:eastAsia="Times New Roman" w:hAnsi="Courier New"/>
      <w:sz w:val="20"/>
      <w:szCs w:val="20"/>
      <w:lang w:eastAsia="ru-RU"/>
    </w:rPr>
  </w:style>
  <w:style w:type="character" w:styleId="HTML0" w:customStyle="1">
    <w:name w:val="Стандартный HTML Знак"/>
    <w:basedOn w:val="a0"/>
    <w:link w:val="HTML"/>
    <w:uiPriority w:val="99"/>
    <w:semiHidden w:val="1"/>
    <w:rsid w:val="00BC1302"/>
    <w:rPr>
      <w:rFonts w:ascii="Courier New" w:cs="Courier New" w:eastAsia="Times New Roman" w:hAnsi="Courier New"/>
      <w:sz w:val="20"/>
      <w:szCs w:val="20"/>
      <w:lang w:eastAsia="ru-RU"/>
    </w:rPr>
  </w:style>
  <w:style w:type="character" w:styleId="HTML1">
    <w:name w:val="HTML Typewriter"/>
    <w:basedOn w:val="a0"/>
    <w:uiPriority w:val="99"/>
    <w:semiHidden w:val="1"/>
    <w:unhideWhenUsed w:val="1"/>
    <w:rsid w:val="00BC1302"/>
    <w:rPr>
      <w:rFonts w:ascii="Courier New" w:cs="Courier New" w:eastAsia="Times New Roman" w:hAnsi="Courier New"/>
      <w:sz w:val="20"/>
      <w:szCs w:val="20"/>
    </w:rPr>
  </w:style>
  <w:style w:type="character" w:styleId="af">
    <w:name w:val="Hyperlink"/>
    <w:basedOn w:val="a0"/>
    <w:uiPriority w:val="99"/>
    <w:unhideWhenUsed w:val="1"/>
    <w:rsid w:val="008F0C97"/>
    <w:rPr>
      <w:color w:val="0000ff" w:themeColor="hyperlink"/>
      <w:u w:val="single"/>
    </w:rPr>
  </w:style>
  <w:style w:type="table" w:styleId="af0">
    <w:name w:val="Table Grid"/>
    <w:basedOn w:val="a1"/>
    <w:uiPriority w:val="59"/>
    <w:rsid w:val="00D5544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1" w:customStyle="1">
    <w:name w:val="Основной текст Знак"/>
    <w:link w:val="af2"/>
    <w:rsid w:val="003B63BE"/>
    <w:rPr>
      <w:rFonts w:ascii="Times New Roman" w:cs="Times New Roman" w:hAnsi="Times New Roman"/>
      <w:sz w:val="23"/>
      <w:szCs w:val="23"/>
      <w:shd w:color="auto" w:fill="ffffff" w:val="clear"/>
    </w:rPr>
  </w:style>
  <w:style w:type="paragraph" w:styleId="af2">
    <w:name w:val="Body Text"/>
    <w:basedOn w:val="a"/>
    <w:link w:val="af1"/>
    <w:rsid w:val="003B63BE"/>
    <w:pPr>
      <w:widowControl w:val="0"/>
      <w:shd w:color="auto" w:fill="ffffff" w:val="clear"/>
      <w:spacing w:after="360" w:before="60" w:line="240" w:lineRule="atLeast"/>
      <w:ind w:hanging="360"/>
      <w:jc w:val="center"/>
    </w:pPr>
    <w:rPr>
      <w:rFonts w:ascii="Times New Roman" w:hAnsi="Times New Roman"/>
      <w:sz w:val="23"/>
      <w:szCs w:val="23"/>
    </w:rPr>
  </w:style>
  <w:style w:type="character" w:styleId="11" w:customStyle="1">
    <w:name w:val="Основной текст Знак1"/>
    <w:basedOn w:val="a0"/>
    <w:uiPriority w:val="99"/>
    <w:semiHidden w:val="1"/>
    <w:rsid w:val="003B63BE"/>
    <w:rPr>
      <w:rFonts w:ascii="Cambria" w:cs="Times New Roman" w:hAnsi="Cambria"/>
      <w:sz w:val="24"/>
      <w:szCs w:val="24"/>
    </w:rPr>
  </w:style>
  <w:style w:type="character" w:styleId="2" w:customStyle="1">
    <w:name w:val="Основной текст (2)_"/>
    <w:link w:val="20"/>
    <w:rsid w:val="00BC540C"/>
    <w:rPr>
      <w:rFonts w:ascii="Times New Roman" w:cs="Times New Roman" w:hAnsi="Times New Roman"/>
      <w:b w:val="1"/>
      <w:bCs w:val="1"/>
      <w:sz w:val="23"/>
      <w:szCs w:val="23"/>
      <w:shd w:color="auto" w:fill="ffffff" w:val="clear"/>
    </w:rPr>
  </w:style>
  <w:style w:type="paragraph" w:styleId="20" w:customStyle="1">
    <w:name w:val="Основной текст (2)"/>
    <w:basedOn w:val="a"/>
    <w:link w:val="2"/>
    <w:rsid w:val="00BC540C"/>
    <w:pPr>
      <w:widowControl w:val="0"/>
      <w:shd w:color="auto" w:fill="ffffff" w:val="clear"/>
      <w:spacing w:after="60" w:line="240" w:lineRule="atLeast"/>
      <w:jc w:val="center"/>
    </w:pPr>
    <w:rPr>
      <w:rFonts w:ascii="Times New Roman" w:hAnsi="Times New Roman"/>
      <w:b w:val="1"/>
      <w:bCs w:val="1"/>
      <w:sz w:val="23"/>
      <w:szCs w:val="23"/>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xTrjF0teQEmZOOos34ENcIOcw==">CgMxLjAyDmgubHI1ZXg5ZDg2cWJnOAByITE2dFY3a0cteG1lVTB1d29sV2xzTEdXX3RxVjBuMnczNw==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2025-02-23T17:59:00Z</dcterms:created>
  <dc:creator>Mamedova Olga</dc:creator>
</cp:coreProperties>
</file>