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МЕЛЬНИК ВАЛЕРІЯ ВІТАЛІЇВНА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МЕЛЬНИК ВАЛЕРІЯ ВІТАЛІЇВНА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3055623128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03028, м. Київ, Стратегічне шосе, 21, кв.101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МЕЛЬНИК ВАЛЕРІЯ ВІТАЛІЇВНА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МЕЛЬНИК ВАЛЕРІЯ ВІТАЛІЇВНА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МЕЛЬНИК ВАЛЕРІЯ ВІТАЛІЇВНА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00007713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25.03.2025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МЕЛЬНИК ВАЛЕРІЯ ВІТАЛІЇВНА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valeriya.melnyk@uniqa.ua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+380 67 238 9642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МЕЛЬНИК ВАЛЕРІЯ ВІТАЛІЇВНА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МЕЛЬНИК ВАЛЕРІЯ ВІТАЛІЇВНА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МЕЛЬНИК ВАЛЕРІЯ ВІТАЛІЇВНА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МЕЛЬНИК ВАЛЕРІЯ ВІТАЛІЇВНА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03028, м. Київ, Стратегічне шосе, 21, кв.101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valeriya.melnyk@uniqa.ua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