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Коротков Юрій Валерійович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Коротков Юрій Валерійович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125721710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02068, м. Київ, вул. Драгоманова, 23-Б, кв. 161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Коротков Юрій Валерійович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Коротков Юрій Валерійович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Коротков Юрій Валерійович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9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11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Коротков Юрій Валерійович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yuriy.korotkov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67 401 6418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ротков Юрій Валерійович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ротков Юрій Валерійович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ротков Юрій Валерійович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Коротков Юрій Валерійович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02068, м. Київ, вул. Драгоманова, 23-Б, кв. 161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yuriy.korotkov@r.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