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sz w:val="52"/>
        </w:rPr>
        <w:t>Product Segmentation and Innovative Proposals for the Vegetable Storage Facility</w:t>
      </w:r>
    </w:p>
    <w:p>
      <w:pPr>
        <w:spacing w:after="160"/>
        <w:jc w:val="left"/>
      </w:pPr>
      <w:r>
        <w:rPr>
          <w:rFonts w:ascii="Arial" w:hAnsi="Arial"/>
          <w:sz w:val="28"/>
        </w:rPr>
        <w:t>Within the concept of the smart agro-hub, we propose developing several segments of products and services that will not only maximize profitability, but also use the advantages of advanced innovative technologies. Our goal is to create a complex that is a leader in the field of storage and processing of agricultural products, meeting the highest standards of quality and efficiency.</w:t>
      </w:r>
      <w:r>
        <w:br/>
      </w:r>
    </w:p>
    <w:p>
      <w:r>
        <w:br w:type="page"/>
      </w:r>
    </w:p>
    <w:p>
      <w:pPr>
        <w:jc w:val="left"/>
      </w:pPr>
      <w:r>
        <w:rPr>
          <w:rFonts w:ascii="Arial" w:hAnsi="Arial"/>
          <w:b/>
          <w:sz w:val="52"/>
        </w:rPr>
        <w:t>Main Storage and Processing Segments</w:t>
      </w:r>
    </w:p>
    <w:p>
      <w:pPr>
        <w:spacing w:after="160"/>
        <w:jc w:val="left"/>
      </w:pPr>
      <w:r>
        <w:rPr>
          <w:rFonts w:ascii="Arial" w:hAnsi="Arial"/>
          <w:sz w:val="22"/>
        </w:rPr>
        <w:t>Our agro-hub will focus on a multi-vector approach to storage and processing, which will make it possible to meet a wide range of market needs and optimize the use of resources. The key segments with innovative solutions are presented below.</w:t>
      </w:r>
      <w:r>
        <w:br/>
      </w:r>
    </w:p>
    <w:tbl>
      <w:tblPr>
        <w:tblStyle w:val="TableGrid"/>
        <w:tblW w:type="auto" w:w="0"/>
        <w:jc w:val="center"/>
        <w:tblLook w:firstColumn="1" w:firstRow="1" w:lastColumn="0" w:lastRow="0" w:noHBand="0" w:noVBand="1" w:val="04A0"/>
      </w:tblPr>
      <w:tblGrid>
        <w:gridCol w:w="5008"/>
        <w:gridCol w:w="5008"/>
        <w:gridCol w:w="5008"/>
      </w:tblGrid>
      <w:tr>
        <w:tc>
          <w:tcPr>
            <w:tcW w:type="dxa" w:w="5008"/>
            <w:shd w:fill="D9D9D9"/>
          </w:tcPr>
          <w:p>
            <w:pPr>
              <w:jc w:val="left"/>
            </w:pPr>
            <w:r/>
            <w:r>
              <w:rPr>
                <w:rFonts w:ascii="Arial" w:hAnsi="Arial"/>
                <w:b/>
                <w:sz w:val="20"/>
              </w:rPr>
              <w:t>Segment</w:t>
            </w:r>
          </w:p>
        </w:tc>
        <w:tc>
          <w:tcPr>
            <w:tcW w:type="dxa" w:w="5008"/>
            <w:shd w:fill="D9D9D9"/>
          </w:tcPr>
          <w:p>
            <w:pPr>
              <w:jc w:val="left"/>
            </w:pPr>
            <w:r/>
            <w:r>
              <w:rPr>
                <w:rFonts w:ascii="Arial" w:hAnsi="Arial"/>
                <w:b/>
                <w:sz w:val="20"/>
              </w:rPr>
              <w:t>Products</w:t>
            </w:r>
          </w:p>
        </w:tc>
        <w:tc>
          <w:tcPr>
            <w:tcW w:type="dxa" w:w="5008"/>
            <w:shd w:fill="D9D9D9"/>
          </w:tcPr>
          <w:p>
            <w:pPr>
              <w:jc w:val="left"/>
            </w:pPr>
            <w:r/>
            <w:r>
              <w:rPr>
                <w:rFonts w:ascii="Arial" w:hAnsi="Arial"/>
                <w:b/>
                <w:sz w:val="20"/>
              </w:rPr>
              <w:t>Innovative solutions</w:t>
            </w:r>
          </w:p>
        </w:tc>
      </w:tr>
      <w:tr>
        <w:tc>
          <w:tcPr>
            <w:tcW w:type="dxa" w:w="5008"/>
          </w:tcPr>
          <w:p>
            <w:pPr>
              <w:jc w:val="left"/>
            </w:pPr>
            <w:r/>
            <w:r>
              <w:rPr>
                <w:rFonts w:ascii="Arial" w:hAnsi="Arial"/>
                <w:b w:val="0"/>
                <w:sz w:val="19"/>
              </w:rPr>
              <w:t>Vegetables for traditional storage</w:t>
            </w:r>
          </w:p>
        </w:tc>
        <w:tc>
          <w:tcPr>
            <w:tcW w:type="dxa" w:w="5008"/>
          </w:tcPr>
          <w:p>
            <w:pPr>
              <w:jc w:val="left"/>
            </w:pPr>
            <w:r/>
            <w:r>
              <w:rPr>
                <w:rFonts w:ascii="Arial" w:hAnsi="Arial"/>
                <w:b w:val="0"/>
                <w:sz w:val="19"/>
              </w:rPr>
              <w:t>Potatoes, carrots, onions, cabbage, beets</w:t>
            </w:r>
          </w:p>
        </w:tc>
        <w:tc>
          <w:tcPr>
            <w:tcW w:type="dxa" w:w="5008"/>
          </w:tcPr>
          <w:p>
            <w:pPr>
              <w:jc w:val="left"/>
            </w:pPr>
            <w:r/>
            <w:r>
              <w:rPr>
                <w:rFonts w:ascii="Arial" w:hAnsi="Arial"/>
                <w:b w:val="0"/>
                <w:sz w:val="19"/>
              </w:rPr>
              <w:t>• Smart chambers with controlled atmosphere (ULO)</w:t>
              <w:br/>
              <w:t>• Nanosensors to control sprouting and rotting</w:t>
            </w:r>
          </w:p>
        </w:tc>
      </w:tr>
      <w:tr>
        <w:tc>
          <w:tcPr>
            <w:tcW w:type="dxa" w:w="5008"/>
          </w:tcPr>
          <w:p>
            <w:pPr>
              <w:jc w:val="left"/>
            </w:pPr>
            <w:r/>
            <w:r>
              <w:rPr>
                <w:rFonts w:ascii="Arial" w:hAnsi="Arial"/>
                <w:b w:val="0"/>
                <w:sz w:val="19"/>
              </w:rPr>
              <w:t>Berries and fruits</w:t>
            </w:r>
          </w:p>
        </w:tc>
        <w:tc>
          <w:tcPr>
            <w:tcW w:type="dxa" w:w="5008"/>
          </w:tcPr>
          <w:p>
            <w:pPr>
              <w:jc w:val="left"/>
            </w:pPr>
            <w:r/>
            <w:r>
              <w:rPr>
                <w:rFonts w:ascii="Arial" w:hAnsi="Arial"/>
                <w:b w:val="0"/>
                <w:sz w:val="19"/>
              </w:rPr>
              <w:t>Strawberries, raspberries, blueberries, apples, pears</w:t>
            </w:r>
          </w:p>
        </w:tc>
        <w:tc>
          <w:tcPr>
            <w:tcW w:type="dxa" w:w="5008"/>
          </w:tcPr>
          <w:p>
            <w:pPr>
              <w:jc w:val="left"/>
            </w:pPr>
            <w:r/>
            <w:r>
              <w:rPr>
                <w:rFonts w:ascii="Arial" w:hAnsi="Arial"/>
                <w:b w:val="0"/>
                <w:sz w:val="19"/>
              </w:rPr>
              <w:t>• IQF shock freezing with vitamin preservation</w:t>
              <w:br/>
              <w:t>• Antimicrobial nanocoatings on packaging</w:t>
            </w:r>
          </w:p>
        </w:tc>
      </w:tr>
      <w:tr>
        <w:tc>
          <w:tcPr>
            <w:tcW w:type="dxa" w:w="5008"/>
          </w:tcPr>
          <w:p>
            <w:pPr>
              <w:jc w:val="left"/>
            </w:pPr>
            <w:r/>
            <w:r>
              <w:rPr>
                <w:rFonts w:ascii="Arial" w:hAnsi="Arial"/>
                <w:b w:val="0"/>
                <w:sz w:val="19"/>
              </w:rPr>
              <w:t>Vegetables for shock freezing</w:t>
            </w:r>
          </w:p>
        </w:tc>
        <w:tc>
          <w:tcPr>
            <w:tcW w:type="dxa" w:w="5008"/>
          </w:tcPr>
          <w:p>
            <w:pPr>
              <w:jc w:val="left"/>
            </w:pPr>
            <w:r/>
            <w:r>
              <w:rPr>
                <w:rFonts w:ascii="Arial" w:hAnsi="Arial"/>
                <w:b w:val="0"/>
                <w:sz w:val="19"/>
              </w:rPr>
              <w:t>Broccoli, cauliflower, green peas, mushrooms, peppers</w:t>
            </w:r>
          </w:p>
        </w:tc>
        <w:tc>
          <w:tcPr>
            <w:tcW w:type="dxa" w:w="5008"/>
          </w:tcPr>
          <w:p>
            <w:pPr>
              <w:jc w:val="left"/>
            </w:pPr>
            <w:r/>
            <w:r>
              <w:rPr>
                <w:rFonts w:ascii="Arial" w:hAnsi="Arial"/>
                <w:b w:val="0"/>
                <w:sz w:val="19"/>
              </w:rPr>
              <w:t>• Cryogenic freezing to preserve texture</w:t>
              <w:br/>
              <w:t>• Robotic sorting by size and quality</w:t>
            </w:r>
          </w:p>
        </w:tc>
      </w:tr>
      <w:tr>
        <w:tc>
          <w:tcPr>
            <w:tcW w:type="dxa" w:w="5008"/>
          </w:tcPr>
          <w:p>
            <w:pPr>
              <w:jc w:val="left"/>
            </w:pPr>
            <w:r/>
            <w:r>
              <w:rPr>
                <w:rFonts w:ascii="Arial" w:hAnsi="Arial"/>
                <w:b w:val="0"/>
                <w:sz w:val="19"/>
              </w:rPr>
              <w:t>Finished products</w:t>
            </w:r>
          </w:p>
        </w:tc>
        <w:tc>
          <w:tcPr>
            <w:tcW w:type="dxa" w:w="5008"/>
          </w:tcPr>
          <w:p>
            <w:pPr>
              <w:jc w:val="left"/>
            </w:pPr>
            <w:r/>
            <w:r>
              <w:rPr>
                <w:rFonts w:ascii="Arial" w:hAnsi="Arial"/>
                <w:b w:val="0"/>
                <w:sz w:val="19"/>
              </w:rPr>
              <w:t>Vegetable mixes, soup sets, frozen semi-finished products</w:t>
            </w:r>
          </w:p>
        </w:tc>
        <w:tc>
          <w:tcPr>
            <w:tcW w:type="dxa" w:w="5008"/>
          </w:tcPr>
          <w:p>
            <w:pPr>
              <w:jc w:val="left"/>
            </w:pPr>
            <w:r/>
            <w:r>
              <w:rPr>
                <w:rFonts w:ascii="Arial" w:hAnsi="Arial"/>
                <w:b w:val="0"/>
                <w:sz w:val="19"/>
              </w:rPr>
              <w:t>• Vacuum packaging line with modified atmosphere</w:t>
              <w:br/>
              <w:t>• Shelf-life tracking system</w:t>
            </w:r>
          </w:p>
        </w:tc>
      </w:tr>
      <w:tr>
        <w:tc>
          <w:tcPr>
            <w:tcW w:type="dxa" w:w="5008"/>
          </w:tcPr>
          <w:p>
            <w:pPr>
              <w:jc w:val="left"/>
            </w:pPr>
            <w:r/>
            <w:r>
              <w:rPr>
                <w:rFonts w:ascii="Arial" w:hAnsi="Arial"/>
                <w:b w:val="0"/>
                <w:sz w:val="19"/>
              </w:rPr>
              <w:t>Niche products</w:t>
            </w:r>
          </w:p>
        </w:tc>
        <w:tc>
          <w:tcPr>
            <w:tcW w:type="dxa" w:w="5008"/>
          </w:tcPr>
          <w:p>
            <w:pPr>
              <w:jc w:val="left"/>
            </w:pPr>
            <w:r/>
            <w:r>
              <w:rPr>
                <w:rFonts w:ascii="Arial" w:hAnsi="Arial"/>
                <w:b w:val="0"/>
                <w:sz w:val="19"/>
              </w:rPr>
              <w:t>Organic vegetables, rare varieties, microgreens, edible flowers</w:t>
            </w:r>
          </w:p>
        </w:tc>
        <w:tc>
          <w:tcPr>
            <w:tcW w:type="dxa" w:w="5008"/>
          </w:tcPr>
          <w:p>
            <w:pPr>
              <w:jc w:val="left"/>
            </w:pPr>
            <w:r/>
            <w:r>
              <w:rPr>
                <w:rFonts w:ascii="Arial" w:hAnsi="Arial"/>
                <w:b w:val="0"/>
                <w:sz w:val="19"/>
              </w:rPr>
              <w:t>• Individual climate zones</w:t>
              <w:br/>
              <w:t>• Blockchain certification of origin</w:t>
            </w:r>
          </w:p>
        </w:tc>
      </w:tr>
    </w:tbl>
    <w:p>
      <w:r>
        <w:br w:type="page"/>
      </w:r>
    </w:p>
    <w:p>
      <w:pPr>
        <w:jc w:val="left"/>
      </w:pPr>
      <w:r>
        <w:rPr>
          <w:rFonts w:ascii="Arial" w:hAnsi="Arial"/>
          <w:b/>
          <w:sz w:val="52"/>
        </w:rPr>
        <w:t>Innovative Services and Products</w:t>
      </w:r>
    </w:p>
    <w:p>
      <w:pPr>
        <w:spacing w:after="160"/>
        <w:jc w:val="left"/>
      </w:pPr>
      <w:r>
        <w:rPr>
          <w:rFonts w:ascii="Arial" w:hAnsi="Arial"/>
          <w:sz w:val="22"/>
        </w:rPr>
        <w:t>Our agro-hub will not only provide storage services, but will also become an innovation center offering unique solutions for the agro-industrial complex.</w:t>
      </w:r>
      <w:r>
        <w:br/>
      </w:r>
    </w:p>
    <w:p>
      <w:r>
        <w:rPr>
          <w:rFonts w:ascii="Arial" w:hAnsi="Arial"/>
          <w:b/>
          <w:sz w:val="30"/>
        </w:rPr>
        <w:t>Smart logistics and monitoring</w:t>
      </w:r>
    </w:p>
    <w:p>
      <w:pPr>
        <w:spacing w:after="160"/>
        <w:jc w:val="left"/>
      </w:pPr>
      <w:r>
        <w:rPr>
          <w:rFonts w:ascii="Arial" w:hAnsi="Arial"/>
          <w:sz w:val="21"/>
        </w:rPr>
        <w:t>Ensuring uninterrupted and efficient delivery of products through advanced technologies.</w:t>
      </w:r>
      <w:r>
        <w:br/>
      </w:r>
    </w:p>
    <w:p>
      <w:pPr>
        <w:pStyle w:val="ListBullet"/>
        <w:ind w:left="397"/>
      </w:pPr>
      <w:r>
        <w:rPr>
          <w:rFonts w:ascii="Arial" w:hAnsi="Arial"/>
          <w:sz w:val="21"/>
        </w:rPr>
        <w:t>Datalogistics: the AI platform forecasts demand, optimizes logistics chains, and minimizes losses.</w:t>
      </w:r>
    </w:p>
    <w:p>
      <w:pPr>
        <w:pStyle w:val="ListBullet"/>
        <w:ind w:left="397"/>
      </w:pPr>
      <w:r>
        <w:rPr>
          <w:rFonts w:ascii="Arial" w:hAnsi="Arial"/>
          <w:sz w:val="21"/>
        </w:rPr>
        <w:t>Quality monitoring: clients receive real-time access to temperature and humidity data through a mobile application, ensuring transparency and trust.</w:t>
      </w:r>
    </w:p>
    <w:p>
      <w:r>
        <w:rPr>
          <w:rFonts w:ascii="Arial" w:hAnsi="Arial"/>
          <w:b/>
          <w:sz w:val="30"/>
        </w:rPr>
        <w:t>Eco-friendly packaging</w:t>
      </w:r>
    </w:p>
    <w:p>
      <w:pPr>
        <w:spacing w:after="160"/>
        <w:jc w:val="left"/>
      </w:pPr>
      <w:r>
        <w:rPr>
          <w:rFonts w:ascii="Arial" w:hAnsi="Arial"/>
          <w:sz w:val="21"/>
        </w:rPr>
        <w:t>Responsibility toward nature and consumers through the use of environmentally friendly materials.</w:t>
      </w:r>
      <w:r>
        <w:br/>
      </w:r>
    </w:p>
    <w:p>
      <w:pPr>
        <w:pStyle w:val="ListBullet"/>
        <w:ind w:left="397"/>
      </w:pPr>
      <w:r>
        <w:rPr>
          <w:rFonts w:ascii="Arial" w:hAnsi="Arial"/>
          <w:sz w:val="21"/>
        </w:rPr>
        <w:t>Biodegradable materials: packaging with nano-additives that not only biodegrade, but also actively extend product freshness.</w:t>
      </w:r>
    </w:p>
    <w:p>
      <w:pPr>
        <w:pStyle w:val="ListBullet"/>
        <w:ind w:left="397"/>
      </w:pPr>
      <w:r>
        <w:rPr>
          <w:rFonts w:ascii="Arial" w:hAnsi="Arial"/>
          <w:sz w:val="21"/>
        </w:rPr>
        <w:t>Smart labels: freshness indicators that change color when a product spoils, ensuring safety and reducing food waste.</w:t>
      </w:r>
    </w:p>
    <w:p>
      <w:r>
        <w:rPr>
          <w:rFonts w:ascii="Arial" w:hAnsi="Arial"/>
          <w:b/>
          <w:sz w:val="30"/>
        </w:rPr>
        <w:t>Waste processing</w:t>
      </w:r>
    </w:p>
    <w:p>
      <w:pPr>
        <w:spacing w:after="160"/>
        <w:jc w:val="left"/>
      </w:pPr>
      <w:r>
        <w:rPr>
          <w:rFonts w:ascii="Arial" w:hAnsi="Arial"/>
          <w:sz w:val="21"/>
        </w:rPr>
        <w:t>Waste is transformed into valuable resources, creating a closed production cycle.</w:t>
      </w:r>
      <w:r>
        <w:br/>
      </w:r>
    </w:p>
    <w:p>
      <w:pPr>
        <w:pStyle w:val="ListBullet"/>
        <w:ind w:left="397"/>
      </w:pPr>
      <w:r>
        <w:rPr>
          <w:rFonts w:ascii="Arial" w:hAnsi="Arial"/>
          <w:sz w:val="21"/>
        </w:rPr>
        <w:t>Biogas plant: organic waste is processed into energy, partially meeting the complex’s needs and reducing dependence on external sources.</w:t>
      </w:r>
    </w:p>
    <w:p>
      <w:pPr>
        <w:pStyle w:val="ListBullet"/>
        <w:ind w:left="397"/>
      </w:pPr>
      <w:r>
        <w:rPr>
          <w:rFonts w:ascii="Arial" w:hAnsi="Arial"/>
          <w:sz w:val="21"/>
        </w:rPr>
        <w:t>Fertilizer production: organic waste is converted into high-quality biofertilizers offered to local farmers, supporting sustainable agricultural development.</w:t>
      </w:r>
    </w:p>
    <w:p>
      <w:r>
        <w:rPr>
          <w:rFonts w:ascii="Arial" w:hAnsi="Arial"/>
          <w:b/>
          <w:sz w:val="30"/>
        </w:rPr>
        <w:t>Educational hub</w:t>
      </w:r>
    </w:p>
    <w:p>
      <w:pPr>
        <w:spacing w:after="160"/>
        <w:jc w:val="left"/>
      </w:pPr>
      <w:r>
        <w:rPr>
          <w:rFonts w:ascii="Arial" w:hAnsi="Arial"/>
          <w:sz w:val="21"/>
        </w:rPr>
        <w:t>Promoting the development of agro-technologies and knowledge sharing.</w:t>
      </w:r>
      <w:r>
        <w:br/>
      </w:r>
    </w:p>
    <w:p>
      <w:pPr>
        <w:pStyle w:val="ListBullet"/>
        <w:ind w:left="397"/>
      </w:pPr>
      <w:r>
        <w:rPr>
          <w:rFonts w:ascii="Arial" w:hAnsi="Arial"/>
          <w:sz w:val="21"/>
        </w:rPr>
        <w:t>AgTech laboratory: partnership with universities to test and implement new storage technologies and attract young talent.</w:t>
      </w:r>
    </w:p>
    <w:p>
      <w:pPr>
        <w:pStyle w:val="ListBullet"/>
        <w:ind w:left="397"/>
      </w:pPr>
      <w:r>
        <w:rPr>
          <w:rFonts w:ascii="Arial" w:hAnsi="Arial"/>
          <w:sz w:val="21"/>
        </w:rPr>
        <w:t>Excursions and master classes: popularization of modern agricultural practices among local farmers and the wider public, raising the agricultural culture of the region.</w:t>
      </w:r>
    </w:p>
    <w:p>
      <w:r>
        <w:br w:type="page"/>
      </w:r>
    </w:p>
    <w:p>
      <w:pPr>
        <w:jc w:val="left"/>
      </w:pPr>
      <w:r>
        <w:rPr>
          <w:rFonts w:ascii="Arial" w:hAnsi="Arial"/>
          <w:b/>
          <w:sz w:val="52"/>
        </w:rPr>
        <w:t>Target Sales Markets</w:t>
      </w:r>
    </w:p>
    <w:p>
      <w:pPr>
        <w:spacing w:after="160"/>
        <w:jc w:val="left"/>
      </w:pPr>
      <w:r>
        <w:rPr>
          <w:rFonts w:ascii="Arial" w:hAnsi="Arial"/>
          <w:sz w:val="22"/>
        </w:rPr>
        <w:t>Our agro-hub is focused on diversified sales markets, which will minimize risks and maximize growth potential, ensuring a stable income flow. We strategically plan to cover both local and international markets.</w:t>
      </w:r>
      <w:r>
        <w:br/>
      </w:r>
    </w:p>
    <w:p>
      <w:r>
        <w:rPr>
          <w:rFonts w:ascii="Arial" w:hAnsi="Arial"/>
          <w:b/>
          <w:sz w:val="30"/>
        </w:rPr>
        <w:t>Local market</w:t>
      </w:r>
    </w:p>
    <w:p>
      <w:pPr>
        <w:spacing w:after="160"/>
        <w:jc w:val="left"/>
      </w:pPr>
      <w:r>
        <w:rPr>
          <w:rFonts w:ascii="Arial" w:hAnsi="Arial"/>
          <w:sz w:val="21"/>
        </w:rPr>
        <w:t>We focus on developing partnerships with local players, which will support the regional economy and ensure fast logistics.</w:t>
      </w:r>
      <w:r>
        <w:br/>
      </w:r>
    </w:p>
    <w:p>
      <w:pPr>
        <w:pStyle w:val="ListBullet"/>
        <w:ind w:left="397"/>
      </w:pPr>
      <w:r>
        <w:rPr>
          <w:rFonts w:ascii="Arial" w:hAnsi="Arial"/>
          <w:sz w:val="21"/>
        </w:rPr>
        <w:t>Supermarkets: direct supplies of fresh and processed vegetables and fruits to large retail chains in Chernivtsi Region.</w:t>
      </w:r>
    </w:p>
    <w:p>
      <w:pPr>
        <w:pStyle w:val="ListBullet"/>
        <w:ind w:left="397"/>
      </w:pPr>
      <w:r>
        <w:rPr>
          <w:rFonts w:ascii="Arial" w:hAnsi="Arial"/>
          <w:sz w:val="21"/>
        </w:rPr>
        <w:t>Restaurants and hotels: supplying high-quality products to food service establishments that value freshness and quality.</w:t>
      </w:r>
    </w:p>
    <w:p>
      <w:pPr>
        <w:pStyle w:val="ListBullet"/>
        <w:ind w:left="397"/>
      </w:pPr>
      <w:r>
        <w:rPr>
          <w:rFonts w:ascii="Arial" w:hAnsi="Arial"/>
          <w:sz w:val="21"/>
        </w:rPr>
        <w:t>Farmers’ cooperatives: cooperation with local farmers to consolidate the harvest and jointly enter the market.</w:t>
      </w:r>
    </w:p>
    <w:p>
      <w:r>
        <w:rPr>
          <w:rFonts w:ascii="Arial" w:hAnsi="Arial"/>
          <w:b/>
          <w:sz w:val="30"/>
        </w:rPr>
        <w:t>National and export markets</w:t>
      </w:r>
    </w:p>
    <w:p>
      <w:pPr>
        <w:spacing w:after="160"/>
        <w:jc w:val="left"/>
      </w:pPr>
      <w:r>
        <w:rPr>
          <w:rFonts w:ascii="Arial" w:hAnsi="Arial"/>
          <w:sz w:val="21"/>
        </w:rPr>
        <w:t>Business scaling through access to national and international levels, opening new opportunities for growth and profitability.</w:t>
      </w:r>
      <w:r>
        <w:br/>
      </w:r>
    </w:p>
    <w:p>
      <w:pPr>
        <w:pStyle w:val="ListBullet"/>
        <w:ind w:left="397"/>
      </w:pPr>
      <w:r>
        <w:rPr>
          <w:rFonts w:ascii="Arial" w:hAnsi="Arial"/>
          <w:sz w:val="21"/>
        </w:rPr>
        <w:t>National market: expanding the geography of supplies to key Ukrainian cities (Kyiv, Lviv, Odesa) through long-term contracts with large chains such as “ATB”, “Varus”, and “Silpo”.</w:t>
      </w:r>
    </w:p>
    <w:p>
      <w:pPr>
        <w:pStyle w:val="ListBullet"/>
        <w:ind w:left="397"/>
      </w:pPr>
      <w:r>
        <w:rPr>
          <w:rFonts w:ascii="Arial" w:hAnsi="Arial"/>
          <w:sz w:val="21"/>
        </w:rPr>
        <w:t>Export: entry into EU markets (Poland, Romania) and the Middle East, where there is high demand for quality frozen vegetables and berries, as well as niche products.</w:t>
      </w:r>
    </w:p>
    <w:p>
      <w:pPr>
        <w:pStyle w:val="ListBullet"/>
        <w:ind w:left="397"/>
      </w:pPr>
      <w:r>
        <w:rPr>
          <w:rFonts w:ascii="Arial" w:hAnsi="Arial"/>
          <w:sz w:val="21"/>
        </w:rPr>
        <w:t>Specialized markets: supply of unique niche products such as organic vegetables and microgreens to meet the needs of the premium segment.</w:t>
      </w:r>
    </w:p>
    <w:p>
      <w:r>
        <w:br w:type="page"/>
      </w:r>
    </w:p>
    <w:p>
      <w:pPr>
        <w:jc w:val="left"/>
      </w:pPr>
      <w:r>
        <w:rPr>
          <w:rFonts w:ascii="Arial" w:hAnsi="Arial"/>
          <w:b/>
          <w:sz w:val="52"/>
        </w:rPr>
        <w:t>Key Competitive Advantages</w:t>
      </w:r>
    </w:p>
    <w:p>
      <w:pPr>
        <w:spacing w:after="160"/>
        <w:jc w:val="left"/>
      </w:pPr>
      <w:r>
        <w:rPr>
          <w:rFonts w:ascii="Arial" w:hAnsi="Arial"/>
          <w:sz w:val="22"/>
        </w:rPr>
        <w:t>Our agro-hub builds its strategy on innovation and sustainability, allowing us to stand out in the market and provide exceptional value to clients.</w:t>
      </w:r>
      <w:r>
        <w:br/>
      </w:r>
    </w:p>
    <w:p>
      <w:r>
        <w:rPr>
          <w:rFonts w:ascii="Arial" w:hAnsi="Arial"/>
          <w:b/>
          <w:sz w:val="30"/>
        </w:rPr>
        <w:t>Technological advancement</w:t>
      </w:r>
    </w:p>
    <w:p>
      <w:pPr>
        <w:spacing w:after="160"/>
        <w:jc w:val="left"/>
      </w:pPr>
      <w:r>
        <w:rPr>
          <w:rFonts w:ascii="Arial" w:hAnsi="Arial"/>
          <w:sz w:val="21"/>
        </w:rPr>
        <w:t>The use of advanced AI and nanotechnologies allows us to significantly reduce product losses, improve quality, and optimize all storage and processing processes.</w:t>
      </w:r>
      <w:r>
        <w:br/>
      </w:r>
    </w:p>
    <w:p>
      <w:r>
        <w:rPr>
          <w:rFonts w:ascii="Arial" w:hAnsi="Arial"/>
          <w:b/>
          <w:sz w:val="30"/>
        </w:rPr>
        <w:t>Environmental responsibility</w:t>
      </w:r>
    </w:p>
    <w:p>
      <w:pPr>
        <w:spacing w:after="160"/>
        <w:jc w:val="left"/>
      </w:pPr>
      <w:r>
        <w:rPr>
          <w:rFonts w:ascii="Arial" w:hAnsi="Arial"/>
          <w:sz w:val="21"/>
        </w:rPr>
        <w:t>The use of solar generation and comprehensive waste processing systems significantly reduces our carbon footprint, meeting modern environmental standards and attracting conscious consumers.</w:t>
      </w:r>
      <w:r>
        <w:br/>
      </w:r>
    </w:p>
    <w:p>
      <w:r>
        <w:rPr>
          <w:rFonts w:ascii="Arial" w:hAnsi="Arial"/>
          <w:b/>
          <w:sz w:val="30"/>
        </w:rPr>
        <w:t>Transparency</w:t>
      </w:r>
    </w:p>
    <w:p>
      <w:pPr>
        <w:spacing w:after="160"/>
        <w:jc w:val="left"/>
      </w:pPr>
      <w:r>
        <w:rPr>
          <w:rFonts w:ascii="Arial" w:hAnsi="Arial"/>
          <w:sz w:val="21"/>
        </w:rPr>
        <w:t>Thanks to IoT sensors and mobile applications, our clients have full access to information about the entire storage chain, including temperature, humidity, and other critical parameters, ensuring full trust.</w:t>
      </w:r>
      <w:r>
        <w:br/>
      </w:r>
    </w:p>
    <w:p>
      <w:r>
        <w:rPr>
          <w:rFonts w:ascii="Arial" w:hAnsi="Arial"/>
          <w:b/>
          <w:sz w:val="30"/>
        </w:rPr>
        <w:t>Flexibility</w:t>
      </w:r>
    </w:p>
    <w:p>
      <w:pPr>
        <w:spacing w:after="160"/>
        <w:jc w:val="left"/>
      </w:pPr>
      <w:r>
        <w:rPr>
          <w:rFonts w:ascii="Arial" w:hAnsi="Arial"/>
          <w:sz w:val="21"/>
        </w:rPr>
        <w:t>The ability to store and process both mass-market products and niche products (organic vegetables, rare varieties, microgreens) allows us to adapt to changing market needs and make the most of opportunities.</w:t>
      </w:r>
      <w:r>
        <w:br/>
      </w:r>
    </w:p>
    <w:p>
      <w:r>
        <w:br w:type="page"/>
      </w:r>
    </w:p>
    <w:p>
      <w:pPr>
        <w:jc w:val="left"/>
      </w:pPr>
      <w:r>
        <w:rPr>
          <w:rFonts w:ascii="Arial" w:hAnsi="Arial"/>
          <w:b/>
          <w:sz w:val="52"/>
        </w:rPr>
        <w:t>Financial Efficiency of Segments</w:t>
      </w:r>
    </w:p>
    <w:p>
      <w:pPr>
        <w:spacing w:after="160"/>
        <w:jc w:val="left"/>
      </w:pPr>
      <w:r>
        <w:rPr>
          <w:rFonts w:ascii="Arial" w:hAnsi="Arial"/>
          <w:sz w:val="22"/>
        </w:rPr>
        <w:t>The analysis of financial indicators for different segments of our agro-hub emphasizes their margins and potential for rapid return on investment, making the project attractive to investors.</w:t>
      </w:r>
      <w:r>
        <w:br/>
      </w:r>
    </w:p>
    <w:tbl>
      <w:tblPr>
        <w:tblStyle w:val="TableGrid"/>
        <w:tblW w:type="auto" w:w="0"/>
        <w:jc w:val="center"/>
        <w:tblLook w:firstColumn="1" w:firstRow="1" w:lastColumn="0" w:lastRow="0" w:noHBand="0" w:noVBand="1" w:val="04A0"/>
      </w:tblPr>
      <w:tblGrid>
        <w:gridCol w:w="3756"/>
        <w:gridCol w:w="3756"/>
        <w:gridCol w:w="3756"/>
        <w:gridCol w:w="3756"/>
      </w:tblGrid>
      <w:tr>
        <w:tc>
          <w:tcPr>
            <w:tcW w:type="dxa" w:w="3756"/>
            <w:shd w:fill="D9D9D9"/>
          </w:tcPr>
          <w:p>
            <w:pPr>
              <w:jc w:val="left"/>
            </w:pPr>
            <w:r/>
            <w:r>
              <w:rPr>
                <w:rFonts w:ascii="Arial" w:hAnsi="Arial"/>
                <w:b/>
                <w:sz w:val="20"/>
              </w:rPr>
              <w:t>Segment</w:t>
            </w:r>
          </w:p>
        </w:tc>
        <w:tc>
          <w:tcPr>
            <w:tcW w:type="dxa" w:w="3756"/>
            <w:shd w:fill="D9D9D9"/>
          </w:tcPr>
          <w:p>
            <w:pPr>
              <w:jc w:val="left"/>
            </w:pPr>
            <w:r/>
            <w:r>
              <w:rPr>
                <w:rFonts w:ascii="Arial" w:hAnsi="Arial"/>
                <w:b/>
                <w:sz w:val="20"/>
              </w:rPr>
              <w:t>Margin</w:t>
            </w:r>
          </w:p>
        </w:tc>
        <w:tc>
          <w:tcPr>
            <w:tcW w:type="dxa" w:w="3756"/>
            <w:shd w:fill="D9D9D9"/>
          </w:tcPr>
          <w:p>
            <w:pPr>
              <w:jc w:val="left"/>
            </w:pPr>
            <w:r/>
            <w:r>
              <w:rPr>
                <w:rFonts w:ascii="Arial" w:hAnsi="Arial"/>
                <w:b/>
                <w:sz w:val="20"/>
              </w:rPr>
              <w:t>Payback period</w:t>
            </w:r>
          </w:p>
        </w:tc>
        <w:tc>
          <w:tcPr>
            <w:tcW w:type="dxa" w:w="3756"/>
            <w:shd w:fill="D9D9D9"/>
          </w:tcPr>
          <w:p>
            <w:pPr>
              <w:jc w:val="left"/>
            </w:pPr>
            <w:r/>
            <w:r>
              <w:rPr>
                <w:rFonts w:ascii="Arial" w:hAnsi="Arial"/>
                <w:b/>
                <w:sz w:val="20"/>
              </w:rPr>
              <w:t>Market factor</w:t>
            </w:r>
          </w:p>
        </w:tc>
      </w:tr>
      <w:tr>
        <w:tc>
          <w:tcPr>
            <w:tcW w:type="dxa" w:w="3756"/>
          </w:tcPr>
          <w:p>
            <w:pPr>
              <w:jc w:val="left"/>
            </w:pPr>
            <w:r/>
            <w:r>
              <w:rPr>
                <w:rFonts w:ascii="Arial" w:hAnsi="Arial"/>
                <w:b w:val="0"/>
                <w:sz w:val="20"/>
              </w:rPr>
              <w:t>Vegetables for traditional storage</w:t>
            </w:r>
          </w:p>
        </w:tc>
        <w:tc>
          <w:tcPr>
            <w:tcW w:type="dxa" w:w="3756"/>
          </w:tcPr>
          <w:p>
            <w:pPr>
              <w:jc w:val="left"/>
            </w:pPr>
            <w:r/>
            <w:r>
              <w:rPr>
                <w:rFonts w:ascii="Arial" w:hAnsi="Arial"/>
                <w:b w:val="0"/>
                <w:sz w:val="20"/>
              </w:rPr>
              <w:t>15-20%</w:t>
            </w:r>
          </w:p>
        </w:tc>
        <w:tc>
          <w:tcPr>
            <w:tcW w:type="dxa" w:w="3756"/>
          </w:tcPr>
          <w:p>
            <w:pPr>
              <w:jc w:val="left"/>
            </w:pPr>
            <w:r/>
            <w:r>
              <w:rPr>
                <w:rFonts w:ascii="Arial" w:hAnsi="Arial"/>
                <w:b w:val="0"/>
                <w:sz w:val="20"/>
              </w:rPr>
              <w:t>2-3 years</w:t>
            </w:r>
          </w:p>
        </w:tc>
        <w:tc>
          <w:tcPr>
            <w:tcW w:type="dxa" w:w="3756"/>
          </w:tcPr>
          <w:p>
            <w:pPr>
              <w:jc w:val="left"/>
            </w:pPr>
            <w:r/>
            <w:r>
              <w:rPr>
                <w:rFonts w:ascii="Arial" w:hAnsi="Arial"/>
                <w:b w:val="0"/>
                <w:sz w:val="20"/>
              </w:rPr>
              <w:t>Stable demand</w:t>
            </w:r>
          </w:p>
        </w:tc>
      </w:tr>
      <w:tr>
        <w:tc>
          <w:tcPr>
            <w:tcW w:type="dxa" w:w="3756"/>
          </w:tcPr>
          <w:p>
            <w:pPr>
              <w:jc w:val="left"/>
            </w:pPr>
            <w:r/>
            <w:r>
              <w:rPr>
                <w:rFonts w:ascii="Arial" w:hAnsi="Arial"/>
                <w:b w:val="0"/>
                <w:sz w:val="20"/>
              </w:rPr>
              <w:t>Berries and fruits</w:t>
            </w:r>
          </w:p>
        </w:tc>
        <w:tc>
          <w:tcPr>
            <w:tcW w:type="dxa" w:w="3756"/>
          </w:tcPr>
          <w:p>
            <w:pPr>
              <w:jc w:val="left"/>
            </w:pPr>
            <w:r/>
            <w:r>
              <w:rPr>
                <w:rFonts w:ascii="Arial" w:hAnsi="Arial"/>
                <w:b w:val="0"/>
                <w:sz w:val="20"/>
              </w:rPr>
              <w:t>25-35%</w:t>
            </w:r>
          </w:p>
        </w:tc>
        <w:tc>
          <w:tcPr>
            <w:tcW w:type="dxa" w:w="3756"/>
          </w:tcPr>
          <w:p>
            <w:pPr>
              <w:jc w:val="left"/>
            </w:pPr>
            <w:r/>
            <w:r>
              <w:rPr>
                <w:rFonts w:ascii="Arial" w:hAnsi="Arial"/>
                <w:b w:val="0"/>
                <w:sz w:val="20"/>
              </w:rPr>
              <w:t>1-2 years</w:t>
            </w:r>
          </w:p>
        </w:tc>
        <w:tc>
          <w:tcPr>
            <w:tcW w:type="dxa" w:w="3756"/>
          </w:tcPr>
          <w:p>
            <w:pPr>
              <w:jc w:val="left"/>
            </w:pPr>
            <w:r/>
            <w:r>
              <w:rPr>
                <w:rFonts w:ascii="Arial" w:hAnsi="Arial"/>
                <w:b w:val="0"/>
                <w:sz w:val="20"/>
              </w:rPr>
              <w:t>High growth in demand for freezing</w:t>
            </w:r>
          </w:p>
        </w:tc>
      </w:tr>
      <w:tr>
        <w:tc>
          <w:tcPr>
            <w:tcW w:type="dxa" w:w="3756"/>
          </w:tcPr>
          <w:p>
            <w:pPr>
              <w:jc w:val="left"/>
            </w:pPr>
            <w:r/>
            <w:r>
              <w:rPr>
                <w:rFonts w:ascii="Arial" w:hAnsi="Arial"/>
                <w:b w:val="0"/>
                <w:sz w:val="20"/>
              </w:rPr>
              <w:t>Finished products</w:t>
            </w:r>
          </w:p>
        </w:tc>
        <w:tc>
          <w:tcPr>
            <w:tcW w:type="dxa" w:w="3756"/>
          </w:tcPr>
          <w:p>
            <w:pPr>
              <w:jc w:val="left"/>
            </w:pPr>
            <w:r/>
            <w:r>
              <w:rPr>
                <w:rFonts w:ascii="Arial" w:hAnsi="Arial"/>
                <w:b w:val="0"/>
                <w:sz w:val="20"/>
              </w:rPr>
              <w:t>30-40%</w:t>
            </w:r>
          </w:p>
        </w:tc>
        <w:tc>
          <w:tcPr>
            <w:tcW w:type="dxa" w:w="3756"/>
          </w:tcPr>
          <w:p>
            <w:pPr>
              <w:jc w:val="left"/>
            </w:pPr>
            <w:r/>
            <w:r>
              <w:rPr>
                <w:rFonts w:ascii="Arial" w:hAnsi="Arial"/>
                <w:b w:val="0"/>
                <w:sz w:val="20"/>
              </w:rPr>
              <w:t>1-2 years</w:t>
            </w:r>
          </w:p>
        </w:tc>
        <w:tc>
          <w:tcPr>
            <w:tcW w:type="dxa" w:w="3756"/>
          </w:tcPr>
          <w:p>
            <w:pPr>
              <w:jc w:val="left"/>
            </w:pPr>
            <w:r/>
            <w:r>
              <w:rPr>
                <w:rFonts w:ascii="Arial" w:hAnsi="Arial"/>
                <w:b w:val="0"/>
                <w:sz w:val="20"/>
              </w:rPr>
              <w:t>Healthy eating trend</w:t>
            </w:r>
          </w:p>
        </w:tc>
      </w:tr>
      <w:tr>
        <w:tc>
          <w:tcPr>
            <w:tcW w:type="dxa" w:w="3756"/>
          </w:tcPr>
          <w:p>
            <w:pPr>
              <w:jc w:val="left"/>
            </w:pPr>
            <w:r/>
            <w:r>
              <w:rPr>
                <w:rFonts w:ascii="Arial" w:hAnsi="Arial"/>
                <w:b w:val="0"/>
                <w:sz w:val="20"/>
              </w:rPr>
              <w:t>Niche products</w:t>
            </w:r>
          </w:p>
        </w:tc>
        <w:tc>
          <w:tcPr>
            <w:tcW w:type="dxa" w:w="3756"/>
          </w:tcPr>
          <w:p>
            <w:pPr>
              <w:jc w:val="left"/>
            </w:pPr>
            <w:r/>
            <w:r>
              <w:rPr>
                <w:rFonts w:ascii="Arial" w:hAnsi="Arial"/>
                <w:b w:val="0"/>
                <w:sz w:val="20"/>
              </w:rPr>
              <w:t>40-50%</w:t>
            </w:r>
          </w:p>
        </w:tc>
        <w:tc>
          <w:tcPr>
            <w:tcW w:type="dxa" w:w="3756"/>
          </w:tcPr>
          <w:p>
            <w:pPr>
              <w:jc w:val="left"/>
            </w:pPr>
            <w:r/>
            <w:r>
              <w:rPr>
                <w:rFonts w:ascii="Arial" w:hAnsi="Arial"/>
                <w:b w:val="0"/>
                <w:sz w:val="20"/>
              </w:rPr>
              <w:t>2-3 years</w:t>
            </w:r>
          </w:p>
        </w:tc>
        <w:tc>
          <w:tcPr>
            <w:tcW w:type="dxa" w:w="3756"/>
          </w:tcPr>
          <w:p>
            <w:pPr>
              <w:jc w:val="left"/>
            </w:pPr>
            <w:r/>
            <w:r>
              <w:rPr>
                <w:rFonts w:ascii="Arial" w:hAnsi="Arial"/>
                <w:b w:val="0"/>
                <w:sz w:val="20"/>
              </w:rPr>
              <w:t>Growing demand in the EU</w:t>
            </w:r>
          </w:p>
        </w:tc>
      </w:tr>
    </w:tbl>
    <w:p>
      <w:pPr>
        <w:spacing w:after="160"/>
        <w:jc w:val="left"/>
      </w:pPr>
      <w:r>
        <w:rPr>
          <w:rFonts w:ascii="Arial" w:hAnsi="Arial"/>
          <w:sz w:val="22"/>
        </w:rPr>
        <w:t>These data demonstrate that our approach to product segmentation is economically justified. In particular, the segments of frozen berries, fruits, and finished products promise the highest margins and the fastest payback, while niche products open significant export opportunities and high profitability.</w:t>
      </w:r>
      <w:r>
        <w:br/>
      </w:r>
    </w:p>
    <w:sectPr w:rsidR="00FC693F" w:rsidRPr="0006063C" w:rsidSect="00034616">
      <w:footerReference w:type="default" r:id="rId9"/>
      <w:pgSz w:w="16838" w:h="11906" w:orient="landscape"/>
      <w:pgMar w:top="794"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08080"/>
        <w:sz w:val="16"/>
      </w:rPr>
      <w:t>Translated concept document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